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宋体" w:eastAsia="方正小标宋简体" w:cs="Arial"/>
          <w:bCs/>
          <w:color w:val="000000"/>
          <w:kern w:val="0"/>
          <w:sz w:val="36"/>
          <w:szCs w:val="36"/>
          <w:shd w:val="clear" w:color="auto" w:fill="FFFFFF"/>
        </w:rPr>
      </w:pPr>
      <w:r>
        <w:rPr>
          <w:rFonts w:hint="eastAsia" w:ascii="方正小标宋简体" w:hAnsi="宋体" w:eastAsia="方正小标宋简体" w:cs="Arial"/>
          <w:bCs/>
          <w:color w:val="000000"/>
          <w:kern w:val="0"/>
          <w:sz w:val="36"/>
          <w:szCs w:val="36"/>
          <w:shd w:val="clear" w:color="auto" w:fill="FFFFFF"/>
        </w:rPr>
        <w:t>汶上县信访局202</w:t>
      </w:r>
      <w:r>
        <w:rPr>
          <w:rFonts w:hint="eastAsia" w:ascii="方正小标宋简体" w:hAnsi="宋体" w:eastAsia="方正小标宋简体" w:cs="Arial"/>
          <w:bCs/>
          <w:color w:val="000000"/>
          <w:kern w:val="0"/>
          <w:sz w:val="36"/>
          <w:szCs w:val="36"/>
          <w:shd w:val="clear" w:color="auto" w:fill="FFFFFF"/>
          <w:lang w:val="en-US" w:eastAsia="zh-CN"/>
        </w:rPr>
        <w:t>2</w:t>
      </w:r>
      <w:r>
        <w:rPr>
          <w:rFonts w:hint="eastAsia" w:ascii="方正小标宋简体" w:hAnsi="宋体" w:eastAsia="方正小标宋简体" w:cs="Arial"/>
          <w:bCs/>
          <w:color w:val="000000"/>
          <w:kern w:val="0"/>
          <w:sz w:val="36"/>
          <w:szCs w:val="36"/>
          <w:shd w:val="clear" w:color="auto" w:fill="FFFFFF"/>
        </w:rPr>
        <w:t>年政府信息公开工作年度报告</w:t>
      </w:r>
    </w:p>
    <w:p>
      <w:pPr>
        <w:widowControl/>
        <w:spacing w:line="450" w:lineRule="atLeast"/>
        <w:ind w:firstLine="480"/>
        <w:jc w:val="left"/>
        <w:rPr>
          <w:rFonts w:ascii="Times New Roman" w:hAnsi="Times New Roman" w:eastAsia="仿宋_GB2312" w:cs="Times New Roman"/>
          <w:color w:val="000000"/>
          <w:kern w:val="0"/>
          <w:sz w:val="28"/>
          <w:szCs w:val="28"/>
          <w:shd w:val="clear" w:color="auto" w:fill="FFFFFF"/>
        </w:rPr>
      </w:pPr>
    </w:p>
    <w:p>
      <w:pPr>
        <w:widowControl/>
        <w:spacing w:line="450" w:lineRule="atLeast"/>
        <w:ind w:firstLine="480"/>
        <w:jc w:val="left"/>
        <w:rPr>
          <w:rFonts w:ascii="Times New Roman" w:hAnsi="Times New Roman" w:eastAsia="仿宋_GB2312" w:cs="Times New Roman"/>
          <w:color w:val="333333"/>
          <w:kern w:val="0"/>
          <w:sz w:val="28"/>
          <w:szCs w:val="28"/>
        </w:rPr>
      </w:pPr>
      <w:r>
        <w:rPr>
          <w:rFonts w:ascii="Times New Roman" w:hAnsi="Times New Roman" w:eastAsia="仿宋_GB2312" w:cs="Times New Roman"/>
          <w:color w:val="000000"/>
          <w:kern w:val="0"/>
          <w:sz w:val="28"/>
          <w:szCs w:val="28"/>
          <w:shd w:val="clear" w:color="auto" w:fill="FFFFFF"/>
        </w:rPr>
        <w:t> </w:t>
      </w:r>
      <w:r>
        <w:rPr>
          <w:rFonts w:ascii="Times New Roman" w:hAnsi="Times New Roman" w:eastAsia="仿宋_GB2312" w:cs="Times New Roman"/>
          <w:color w:val="333333"/>
          <w:kern w:val="0"/>
          <w:sz w:val="28"/>
          <w:szCs w:val="28"/>
        </w:rPr>
        <w:t>本报告由汶上县信访局按照《中华人民共和国政府信息公开条例》（以下简称《条例》）和《中华人民共和国政府信息公开工作年度报告格式》（国办公开办函〔20</w:t>
      </w:r>
      <w:r>
        <w:rPr>
          <w:rFonts w:hint="eastAsia" w:ascii="Times New Roman" w:hAnsi="Times New Roman" w:eastAsia="仿宋_GB2312" w:cs="Times New Roman"/>
          <w:color w:val="333333"/>
          <w:kern w:val="0"/>
          <w:sz w:val="28"/>
          <w:szCs w:val="28"/>
          <w:lang w:val="en-US" w:eastAsia="zh-CN"/>
        </w:rPr>
        <w:t>21</w:t>
      </w:r>
      <w:r>
        <w:rPr>
          <w:rFonts w:ascii="Times New Roman" w:hAnsi="Times New Roman" w:eastAsia="仿宋_GB2312" w:cs="Times New Roman"/>
          <w:color w:val="333333"/>
          <w:kern w:val="0"/>
          <w:sz w:val="28"/>
          <w:szCs w:val="28"/>
        </w:rPr>
        <w:t>〕</w:t>
      </w:r>
      <w:r>
        <w:rPr>
          <w:rFonts w:hint="eastAsia" w:ascii="Times New Roman" w:hAnsi="Times New Roman" w:eastAsia="仿宋_GB2312" w:cs="Times New Roman"/>
          <w:color w:val="333333"/>
          <w:kern w:val="0"/>
          <w:sz w:val="28"/>
          <w:szCs w:val="28"/>
          <w:lang w:val="en-US" w:eastAsia="zh-CN"/>
        </w:rPr>
        <w:t>30</w:t>
      </w:r>
      <w:r>
        <w:rPr>
          <w:rFonts w:ascii="Times New Roman" w:hAnsi="Times New Roman" w:eastAsia="仿宋_GB2312" w:cs="Times New Roman"/>
          <w:color w:val="333333"/>
          <w:kern w:val="0"/>
          <w:sz w:val="28"/>
          <w:szCs w:val="28"/>
        </w:rPr>
        <w:t>号）要求编制。</w:t>
      </w:r>
    </w:p>
    <w:p>
      <w:pPr>
        <w:widowControl/>
        <w:spacing w:line="450" w:lineRule="atLeast"/>
        <w:ind w:firstLine="480"/>
        <w:jc w:val="left"/>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本报告内容包括总体情况、主动公开政府信息情况、收到和处理政府信息公开申请情况、政府信息公开行政复议和行政诉讼情况、存在的主要问题及改进情况、其他需要报告的事项等六部分内容。</w:t>
      </w:r>
    </w:p>
    <w:p>
      <w:pPr>
        <w:widowControl/>
        <w:spacing w:line="450" w:lineRule="atLeast"/>
        <w:ind w:firstLine="480"/>
        <w:jc w:val="left"/>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本报告所列数据的统计期限自202</w:t>
      </w:r>
      <w:r>
        <w:rPr>
          <w:rFonts w:hint="eastAsia" w:ascii="Times New Roman" w:hAnsi="Times New Roman" w:eastAsia="仿宋_GB2312" w:cs="Times New Roman"/>
          <w:color w:val="333333"/>
          <w:kern w:val="0"/>
          <w:sz w:val="28"/>
          <w:szCs w:val="28"/>
          <w:lang w:val="en-US" w:eastAsia="zh-CN"/>
        </w:rPr>
        <w:t>2</w:t>
      </w:r>
      <w:r>
        <w:rPr>
          <w:rFonts w:ascii="Times New Roman" w:hAnsi="Times New Roman" w:eastAsia="仿宋_GB2312" w:cs="Times New Roman"/>
          <w:color w:val="333333"/>
          <w:kern w:val="0"/>
          <w:sz w:val="28"/>
          <w:szCs w:val="28"/>
        </w:rPr>
        <w:t>年1月1日起至202</w:t>
      </w:r>
      <w:r>
        <w:rPr>
          <w:rFonts w:hint="eastAsia" w:ascii="Times New Roman" w:hAnsi="Times New Roman" w:eastAsia="仿宋_GB2312" w:cs="Times New Roman"/>
          <w:color w:val="333333"/>
          <w:kern w:val="0"/>
          <w:sz w:val="28"/>
          <w:szCs w:val="28"/>
          <w:lang w:val="en-US" w:eastAsia="zh-CN"/>
        </w:rPr>
        <w:t>2</w:t>
      </w:r>
      <w:r>
        <w:rPr>
          <w:rFonts w:ascii="Times New Roman" w:hAnsi="Times New Roman" w:eastAsia="仿宋_GB2312" w:cs="Times New Roman"/>
          <w:color w:val="333333"/>
          <w:kern w:val="0"/>
          <w:sz w:val="28"/>
          <w:szCs w:val="28"/>
        </w:rPr>
        <w:t>年12月31日止。本报告电子版可在</w:t>
      </w:r>
      <w:r>
        <w:rPr>
          <w:rFonts w:hint="eastAsia" w:ascii="Times New Roman" w:hAnsi="Times New Roman" w:eastAsia="仿宋_GB2312" w:cs="Times New Roman"/>
          <w:color w:val="333333"/>
          <w:kern w:val="0"/>
          <w:sz w:val="28"/>
          <w:szCs w:val="28"/>
          <w:lang w:val="en-US" w:eastAsia="zh-CN"/>
        </w:rPr>
        <w:t>:“中国</w:t>
      </w:r>
      <w:r>
        <w:rPr>
          <w:rFonts w:hint="eastAsia" w:ascii="微软雅黑" w:hAnsi="微软雅黑" w:eastAsia="微软雅黑" w:cs="微软雅黑"/>
          <w:color w:val="333333"/>
          <w:kern w:val="0"/>
          <w:sz w:val="28"/>
          <w:szCs w:val="28"/>
          <w:lang w:val="en-US" w:eastAsia="zh-CN"/>
        </w:rPr>
        <w:t>•</w:t>
      </w:r>
      <w:r>
        <w:rPr>
          <w:rFonts w:hint="eastAsia" w:ascii="Times New Roman" w:hAnsi="Times New Roman" w:eastAsia="仿宋_GB2312" w:cs="Times New Roman"/>
          <w:color w:val="333333"/>
          <w:kern w:val="0"/>
          <w:sz w:val="28"/>
          <w:szCs w:val="28"/>
          <w:lang w:val="en-US" w:eastAsia="zh-CN"/>
        </w:rPr>
        <w:t>汶上”</w:t>
      </w:r>
      <w:r>
        <w:rPr>
          <w:rFonts w:ascii="Times New Roman" w:hAnsi="Times New Roman" w:eastAsia="仿宋_GB2312" w:cs="Times New Roman"/>
          <w:color w:val="333333"/>
          <w:kern w:val="0"/>
          <w:sz w:val="28"/>
          <w:szCs w:val="28"/>
        </w:rPr>
        <w:t>政府</w:t>
      </w:r>
      <w:r>
        <w:rPr>
          <w:rFonts w:hint="eastAsia" w:ascii="Times New Roman" w:hAnsi="Times New Roman" w:eastAsia="仿宋_GB2312" w:cs="Times New Roman"/>
          <w:color w:val="333333"/>
          <w:kern w:val="0"/>
          <w:sz w:val="28"/>
          <w:szCs w:val="28"/>
          <w:lang w:eastAsia="zh-CN"/>
        </w:rPr>
        <w:t>门户</w:t>
      </w:r>
      <w:r>
        <w:rPr>
          <w:rFonts w:ascii="Times New Roman" w:hAnsi="Times New Roman" w:eastAsia="仿宋_GB2312" w:cs="Times New Roman"/>
          <w:color w:val="333333"/>
          <w:kern w:val="0"/>
          <w:sz w:val="28"/>
          <w:szCs w:val="28"/>
        </w:rPr>
        <w:t>网站（http://www.wenshang.gov.cn/）查阅或下载。如对本报告有疑问，请与汶上县信访局联系（地址：汶上县政和路868号，联系电话：0537—7212032）。</w:t>
      </w:r>
    </w:p>
    <w:p>
      <w:pPr>
        <w:widowControl/>
        <w:spacing w:line="450" w:lineRule="atLeast"/>
        <w:ind w:firstLine="480"/>
        <w:jc w:val="left"/>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一、总体情况</w:t>
      </w:r>
    </w:p>
    <w:p>
      <w:pPr>
        <w:widowControl/>
        <w:spacing w:line="450" w:lineRule="atLeast"/>
        <w:ind w:firstLine="480"/>
        <w:jc w:val="left"/>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2022年，我局认真贯彻落实《中华人民共和国政府信息公开条例》，严格遵循</w:t>
      </w:r>
      <w:r>
        <w:rPr>
          <w:rFonts w:hint="eastAsia" w:ascii="Times New Roman" w:hAnsi="Times New Roman" w:eastAsia="仿宋_GB2312" w:cs="Times New Roman"/>
          <w:color w:val="333333"/>
          <w:kern w:val="0"/>
          <w:sz w:val="28"/>
          <w:szCs w:val="28"/>
          <w:lang w:eastAsia="zh-CN"/>
        </w:rPr>
        <w:t>县</w:t>
      </w:r>
      <w:r>
        <w:rPr>
          <w:rFonts w:ascii="Times New Roman" w:hAnsi="Times New Roman" w:eastAsia="仿宋_GB2312" w:cs="Times New Roman"/>
          <w:color w:val="333333"/>
          <w:kern w:val="0"/>
          <w:sz w:val="28"/>
          <w:szCs w:val="28"/>
        </w:rPr>
        <w:t>委、</w:t>
      </w:r>
      <w:r>
        <w:rPr>
          <w:rFonts w:hint="eastAsia" w:ascii="Times New Roman" w:hAnsi="Times New Roman" w:eastAsia="仿宋_GB2312" w:cs="Times New Roman"/>
          <w:color w:val="333333"/>
          <w:kern w:val="0"/>
          <w:sz w:val="28"/>
          <w:szCs w:val="28"/>
          <w:lang w:eastAsia="zh-CN"/>
        </w:rPr>
        <w:t>县</w:t>
      </w:r>
      <w:r>
        <w:rPr>
          <w:rFonts w:ascii="Times New Roman" w:hAnsi="Times New Roman" w:eastAsia="仿宋_GB2312" w:cs="Times New Roman"/>
          <w:color w:val="333333"/>
          <w:kern w:val="0"/>
          <w:sz w:val="28"/>
          <w:szCs w:val="28"/>
        </w:rPr>
        <w:t>政府的相关指示，坚持以公开为常态、不公开为例外，将最新政策、资金、工作动态等信息及时准确地向社会公开，不断丰富信息公开的内容和形式，保障人民群众的知情权、参与权及监督权，切实服务人民、接受人民监督，打造人民满意的服务型政府。坚持主要领导亲自抓，将政府信息公开纳入重要议事日程，明确分管领导、具体负责科室以及具体负责信息公开工作人员，定期部署工作任务，积极参加政府信息公开培训及相关会议。坚持把政府信息公开作为推动机关党的建设和业务工作的重要载体，规范受理承办、保密审查、责任承担等工作要求，确保信息公开的时效性、准确性和权威性。</w:t>
      </w:r>
    </w:p>
    <w:p>
      <w:pPr>
        <w:widowControl/>
        <w:spacing w:line="450" w:lineRule="atLeast"/>
        <w:ind w:firstLine="480"/>
        <w:jc w:val="left"/>
        <w:rPr>
          <w:rFonts w:hint="eastAsia" w:ascii="Times New Roman" w:hAnsi="Times New Roman" w:eastAsia="仿宋_GB2312" w:cs="Times New Roman"/>
          <w:color w:val="333333"/>
          <w:kern w:val="0"/>
          <w:sz w:val="28"/>
          <w:szCs w:val="28"/>
          <w:lang w:eastAsia="zh-CN"/>
        </w:rPr>
      </w:pPr>
      <w:r>
        <w:rPr>
          <w:rFonts w:hint="eastAsia" w:ascii="Times New Roman" w:hAnsi="Times New Roman" w:eastAsia="仿宋_GB2312" w:cs="Times New Roman"/>
          <w:color w:val="333333"/>
          <w:kern w:val="0"/>
          <w:sz w:val="28"/>
          <w:szCs w:val="28"/>
          <w:lang w:eastAsia="zh-CN"/>
        </w:rPr>
        <w:drawing>
          <wp:inline distT="0" distB="0" distL="114300" distR="114300">
            <wp:extent cx="5270500" cy="3470275"/>
            <wp:effectExtent l="0" t="0" r="6350" b="15875"/>
            <wp:docPr id="2" name="图片 2" descr="微信图片_2023010411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104113607"/>
                    <pic:cNvPicPr>
                      <a:picLocks noChangeAspect="1"/>
                    </pic:cNvPicPr>
                  </pic:nvPicPr>
                  <pic:blipFill>
                    <a:blip r:embed="rId4"/>
                    <a:stretch>
                      <a:fillRect/>
                    </a:stretch>
                  </pic:blipFill>
                  <pic:spPr>
                    <a:xfrm>
                      <a:off x="0" y="0"/>
                      <a:ext cx="5270500" cy="3470275"/>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450" w:lineRule="atLeast"/>
        <w:ind w:firstLine="560" w:firstLineChars="200"/>
        <w:jc w:val="left"/>
        <w:textAlignment w:val="auto"/>
        <w:rPr>
          <w:rFonts w:ascii="Times New Roman" w:hAnsi="Times New Roman" w:eastAsia="仿宋_GB2312" w:cs="Times New Roman"/>
          <w:color w:val="333333"/>
          <w:kern w:val="0"/>
          <w:sz w:val="28"/>
          <w:szCs w:val="28"/>
        </w:rPr>
      </w:pPr>
      <w:r>
        <w:rPr>
          <w:rFonts w:hint="eastAsia" w:ascii="Times New Roman" w:hAnsi="Times New Roman" w:eastAsia="仿宋_GB2312" w:cs="Times New Roman"/>
          <w:color w:val="000000"/>
          <w:kern w:val="0"/>
          <w:sz w:val="28"/>
          <w:szCs w:val="28"/>
          <w:shd w:val="clear" w:color="auto" w:fill="FFFFFF"/>
          <w:lang w:eastAsia="zh-CN"/>
        </w:rPr>
        <w:t>（一）</w:t>
      </w:r>
      <w:r>
        <w:rPr>
          <w:rFonts w:ascii="Times New Roman" w:hAnsi="Times New Roman" w:eastAsia="仿宋_GB2312" w:cs="Times New Roman"/>
          <w:color w:val="000000"/>
          <w:kern w:val="0"/>
          <w:sz w:val="28"/>
          <w:szCs w:val="28"/>
          <w:shd w:val="clear" w:color="auto" w:fill="FFFFFF"/>
        </w:rPr>
        <w:t>主动公开情况。</w:t>
      </w:r>
    </w:p>
    <w:p>
      <w:pPr>
        <w:keepNext w:val="0"/>
        <w:keepLines w:val="0"/>
        <w:pageBreakBefore w:val="0"/>
        <w:widowControl/>
        <w:numPr>
          <w:ilvl w:val="0"/>
          <w:numId w:val="0"/>
        </w:numPr>
        <w:kinsoku/>
        <w:wordWrap/>
        <w:overflowPunct/>
        <w:topLinePunct w:val="0"/>
        <w:autoSpaceDE/>
        <w:autoSpaceDN/>
        <w:bidi w:val="0"/>
        <w:adjustRightInd/>
        <w:snapToGrid/>
        <w:spacing w:line="450" w:lineRule="atLeast"/>
        <w:ind w:firstLine="560" w:firstLineChars="200"/>
        <w:jc w:val="left"/>
        <w:textAlignment w:val="auto"/>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202</w:t>
      </w:r>
      <w:r>
        <w:rPr>
          <w:rFonts w:hint="eastAsia" w:ascii="Times New Roman" w:hAnsi="Times New Roman" w:eastAsia="仿宋_GB2312" w:cs="Times New Roman"/>
          <w:color w:val="333333"/>
          <w:kern w:val="0"/>
          <w:sz w:val="28"/>
          <w:szCs w:val="28"/>
          <w:lang w:val="en-US" w:eastAsia="zh-CN"/>
        </w:rPr>
        <w:t>2</w:t>
      </w:r>
      <w:r>
        <w:rPr>
          <w:rFonts w:ascii="Times New Roman" w:hAnsi="Times New Roman" w:eastAsia="仿宋_GB2312" w:cs="Times New Roman"/>
          <w:color w:val="333333"/>
          <w:kern w:val="0"/>
          <w:sz w:val="28"/>
          <w:szCs w:val="28"/>
        </w:rPr>
        <w:t>年，县信访局充分发挥汶上县政府门户网站和政府信息公开专栏的主平台和主阵地作用，除涉及国家秘密、商业秘密、个人隐私的政府信息外，一律及时主动予以公开，切实满足人民群众获取政府信息的合理需求。202</w:t>
      </w:r>
      <w:r>
        <w:rPr>
          <w:rFonts w:hint="eastAsia" w:ascii="Times New Roman" w:hAnsi="Times New Roman" w:eastAsia="仿宋_GB2312" w:cs="Times New Roman"/>
          <w:color w:val="333333"/>
          <w:kern w:val="0"/>
          <w:sz w:val="28"/>
          <w:szCs w:val="28"/>
          <w:lang w:val="en-US" w:eastAsia="zh-CN"/>
        </w:rPr>
        <w:t>2</w:t>
      </w:r>
      <w:r>
        <w:rPr>
          <w:rFonts w:ascii="Times New Roman" w:hAnsi="Times New Roman" w:eastAsia="仿宋_GB2312" w:cs="Times New Roman"/>
          <w:color w:val="333333"/>
          <w:kern w:val="0"/>
          <w:sz w:val="28"/>
          <w:szCs w:val="28"/>
        </w:rPr>
        <w:t>年，县信访局认真抓好政府信息公开内容的更新，共主动公开政府信息</w:t>
      </w:r>
      <w:r>
        <w:rPr>
          <w:rFonts w:hint="eastAsia" w:ascii="Times New Roman" w:hAnsi="Times New Roman" w:eastAsia="仿宋_GB2312" w:cs="Times New Roman"/>
          <w:color w:val="333333"/>
          <w:kern w:val="0"/>
          <w:sz w:val="28"/>
          <w:szCs w:val="28"/>
          <w:lang w:val="en-US" w:eastAsia="zh-CN"/>
        </w:rPr>
        <w:t>64</w:t>
      </w:r>
      <w:r>
        <w:rPr>
          <w:rFonts w:ascii="Times New Roman" w:hAnsi="Times New Roman" w:eastAsia="仿宋_GB2312" w:cs="Times New Roman"/>
          <w:color w:val="333333"/>
          <w:kern w:val="0"/>
          <w:sz w:val="28"/>
          <w:szCs w:val="28"/>
        </w:rPr>
        <w:t>条，微信公众号发布或更新各类信息</w:t>
      </w:r>
      <w:r>
        <w:rPr>
          <w:rFonts w:hint="eastAsia" w:ascii="Times New Roman" w:hAnsi="Times New Roman" w:eastAsia="仿宋_GB2312" w:cs="Times New Roman"/>
          <w:color w:val="333333"/>
          <w:kern w:val="0"/>
          <w:sz w:val="28"/>
          <w:szCs w:val="28"/>
          <w:lang w:val="en-US" w:eastAsia="zh-CN"/>
        </w:rPr>
        <w:t>412</w:t>
      </w:r>
      <w:r>
        <w:rPr>
          <w:rFonts w:ascii="Times New Roman" w:hAnsi="Times New Roman" w:eastAsia="仿宋_GB2312" w:cs="Times New Roman"/>
          <w:color w:val="333333"/>
          <w:kern w:val="0"/>
          <w:sz w:val="28"/>
          <w:szCs w:val="28"/>
        </w:rPr>
        <w:t>条</w:t>
      </w:r>
      <w:r>
        <w:rPr>
          <w:rFonts w:hint="eastAsia" w:ascii="Times New Roman" w:hAnsi="Times New Roman" w:eastAsia="仿宋_GB2312" w:cs="Times New Roman"/>
          <w:color w:val="333333"/>
          <w:kern w:val="0"/>
          <w:sz w:val="28"/>
          <w:szCs w:val="28"/>
          <w:lang w:eastAsia="zh-CN"/>
        </w:rPr>
        <w:t>，</w:t>
      </w:r>
      <w:r>
        <w:rPr>
          <w:rFonts w:ascii="Times New Roman" w:hAnsi="Times New Roman" w:eastAsia="仿宋_GB2312" w:cs="Times New Roman"/>
          <w:color w:val="333333"/>
          <w:kern w:val="0"/>
          <w:sz w:val="28"/>
          <w:szCs w:val="28"/>
        </w:rPr>
        <w:t>做到了及时、准确对外发布。</w:t>
      </w:r>
    </w:p>
    <w:p>
      <w:r>
        <mc:AlternateContent>
          <mc:Choice Requires="wps">
            <w:drawing>
              <wp:anchor distT="0" distB="0" distL="114300" distR="114300" simplePos="0" relativeHeight="251660288" behindDoc="0" locked="0" layoutInCell="1" allowOverlap="1">
                <wp:simplePos x="0" y="0"/>
                <wp:positionH relativeFrom="column">
                  <wp:posOffset>935990</wp:posOffset>
                </wp:positionH>
                <wp:positionV relativeFrom="paragraph">
                  <wp:posOffset>1672590</wp:posOffset>
                </wp:positionV>
                <wp:extent cx="860425" cy="372110"/>
                <wp:effectExtent l="0" t="0" r="0" b="889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60425" cy="372110"/>
                        </a:xfrm>
                        <a:prstGeom prst="rect">
                          <a:avLst/>
                        </a:prstGeom>
                        <a:solidFill>
                          <a:srgbClr val="FFFFFF"/>
                        </a:solidFill>
                        <a:ln w="9525">
                          <a:noFill/>
                          <a:miter lim="800000"/>
                        </a:ln>
                      </wps:spPr>
                      <wps:txbx>
                        <w:txbxContent>
                          <w:p>
                            <w:r>
                              <w:rPr>
                                <w:rFonts w:hint="eastAsia"/>
                              </w:rPr>
                              <w:t>政府网站</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3.7pt;margin-top:131.7pt;height:29.3pt;width:67.75pt;z-index:251660288;mso-width-relative:page;mso-height-relative:page;" fillcolor="#FFFFFF" filled="t" stroked="f" coordsize="21600,21600" o:gfxdata="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AAueJ2AAAAAsBAAAPAAAAAAAAAAEAIAAAACIAAABkcnMvZG93bnJl&#10;di54bWxQSwECFAAUAAAACACHTuJAQnGKfTYCAABRBAAADgAAAAAAAAABACAAAAAnAQAAZHJzL2Uy&#10;b0RvYy54bWxQSwUGAAAAAAYABgBZAQAAzwUAAAAA&#10;">
                <v:fill on="t" focussize="0,0"/>
                <v:stroke on="f" miterlimit="8" joinstyle="miter"/>
                <v:imagedata o:title=""/>
                <o:lock v:ext="edit" aspectratio="f"/>
                <v:textbox>
                  <w:txbxContent>
                    <w:p>
                      <w:r>
                        <w:rPr>
                          <w:rFonts w:hint="eastAsia"/>
                        </w:rPr>
                        <w:t>政府网站</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3952875</wp:posOffset>
                </wp:positionH>
                <wp:positionV relativeFrom="paragraph">
                  <wp:posOffset>1686560</wp:posOffset>
                </wp:positionV>
                <wp:extent cx="657225" cy="372110"/>
                <wp:effectExtent l="0" t="0" r="9525" b="889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7225" cy="372110"/>
                        </a:xfrm>
                        <a:prstGeom prst="rect">
                          <a:avLst/>
                        </a:prstGeom>
                        <a:solidFill>
                          <a:srgbClr val="FFFFFF"/>
                        </a:solidFill>
                        <a:ln w="9525">
                          <a:noFill/>
                          <a:miter lim="800000"/>
                        </a:ln>
                      </wps:spPr>
                      <wps:txbx>
                        <w:txbxContent>
                          <w:p>
                            <w:r>
                              <w:rPr>
                                <w:rFonts w:hint="eastAsia"/>
                              </w:rPr>
                              <w:t>合计</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1.25pt;margin-top:132.8pt;height:29.3pt;width:51.75pt;z-index:251661312;mso-width-relative:page;mso-height-relative:page;" fillcolor="#FFFFFF" filled="t" stroked="f" coordsize="21600,21600" o:gfxdata="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UVh6dkAAAALAQAADwAAAAAAAAABACAAAAAiAAAAZHJzL2Rvd25y&#10;ZXYueG1sUEsBAhQAFAAAAAgAh07iQO2pnNg2AgAAUQQAAA4AAAAAAAAAAQAgAAAAKAEAAGRycy9l&#10;Mm9Eb2MueG1sUEsFBgAAAAAGAAYAWQEAANAFAAAAAA==&#10;">
                <v:fill on="t" focussize="0,0"/>
                <v:stroke on="f" miterlimit="8" joinstyle="miter"/>
                <v:imagedata o:title=""/>
                <o:lock v:ext="edit" aspectratio="f"/>
                <v:textbox>
                  <w:txbxContent>
                    <w:p>
                      <w:r>
                        <w:rPr>
                          <w:rFonts w:hint="eastAsia"/>
                        </w:rPr>
                        <w:t>合计</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1703705</wp:posOffset>
                </wp:positionH>
                <wp:positionV relativeFrom="paragraph">
                  <wp:posOffset>1684655</wp:posOffset>
                </wp:positionV>
                <wp:extent cx="1934845" cy="372110"/>
                <wp:effectExtent l="0" t="0" r="8255" b="889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34845" cy="372110"/>
                        </a:xfrm>
                        <a:prstGeom prst="rect">
                          <a:avLst/>
                        </a:prstGeom>
                        <a:solidFill>
                          <a:srgbClr val="FFFFFF"/>
                        </a:solidFill>
                        <a:ln w="9525">
                          <a:noFill/>
                          <a:miter lim="800000"/>
                        </a:ln>
                      </wps:spPr>
                      <wps:txbx>
                        <w:txbxContent>
                          <w:p>
                            <w:r>
                              <w:rPr>
                                <w:rFonts w:hint="eastAsia"/>
                              </w:rPr>
                              <w:t>“汶上阳光信访”微信公众号</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4.15pt;margin-top:132.65pt;height:29.3pt;width:152.35pt;z-index:251659264;mso-width-relative:page;mso-height-relative:page;" fillcolor="#FFFFFF" filled="t" stroked="f" coordsize="21600,21600" o:gfxdata="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Scc+tgAAAALAQAADwAAAAAAAAABACAAAAAiAAAAZHJzL2Rv&#10;d25yZXYueG1sUEsBAhQAFAAAAAgAh07iQPPmrH86AgAAVAQAAA4AAAAAAAAAAQAgAAAAJwEAAGRy&#10;cy9lMm9Eb2MueG1sUEsFBgAAAAAGAAYAWQEAANMFAAAAAA==&#10;">
                <v:fill on="t" focussize="0,0"/>
                <v:stroke on="f" miterlimit="8" joinstyle="miter"/>
                <v:imagedata o:title=""/>
                <o:lock v:ext="edit" aspectratio="f"/>
                <v:textbox>
                  <w:txbxContent>
                    <w:p>
                      <w:r>
                        <w:rPr>
                          <w:rFonts w:hint="eastAsia"/>
                        </w:rPr>
                        <w:t>“汶上阳光信访”微信公众号</w:t>
                      </w:r>
                    </w:p>
                  </w:txbxContent>
                </v:textbox>
              </v:shape>
            </w:pict>
          </mc:Fallback>
        </mc:AlternateContent>
      </w:r>
      <w:r>
        <w:drawing>
          <wp:inline distT="0" distB="0" distL="0" distR="0">
            <wp:extent cx="5276850" cy="2286000"/>
            <wp:effectExtent l="0" t="0" r="1905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pacing w:line="450" w:lineRule="atLeast"/>
        <w:ind w:left="480"/>
        <w:jc w:val="left"/>
        <w:rPr>
          <w:rFonts w:ascii="Times New Roman" w:hAnsi="Times New Roman" w:eastAsia="仿宋_GB2312" w:cs="Times New Roman"/>
          <w:color w:val="333333"/>
          <w:kern w:val="0"/>
          <w:sz w:val="28"/>
          <w:szCs w:val="28"/>
        </w:rPr>
      </w:pPr>
    </w:p>
    <w:p>
      <w:pPr>
        <w:widowControl/>
        <w:numPr>
          <w:ilvl w:val="0"/>
          <w:numId w:val="0"/>
        </w:numPr>
        <w:spacing w:line="450" w:lineRule="atLeast"/>
        <w:ind w:left="480" w:leftChars="0"/>
        <w:jc w:val="left"/>
        <w:rPr>
          <w:rFonts w:ascii="Times New Roman" w:hAnsi="Times New Roman" w:eastAsia="仿宋_GB2312" w:cs="Times New Roman"/>
          <w:color w:val="000000"/>
          <w:kern w:val="0"/>
          <w:sz w:val="28"/>
          <w:szCs w:val="28"/>
          <w:shd w:val="clear" w:color="auto" w:fill="FFFFFF"/>
        </w:rPr>
      </w:pPr>
      <w:r>
        <w:rPr>
          <w:rFonts w:hint="eastAsia" w:ascii="Times New Roman" w:hAnsi="Times New Roman" w:eastAsia="仿宋_GB2312" w:cs="Times New Roman"/>
          <w:color w:val="000000"/>
          <w:kern w:val="0"/>
          <w:sz w:val="28"/>
          <w:szCs w:val="28"/>
          <w:shd w:val="clear" w:color="auto" w:fill="FFFFFF"/>
          <w:lang w:eastAsia="zh-CN"/>
        </w:rPr>
        <w:t>（二）</w:t>
      </w:r>
      <w:r>
        <w:rPr>
          <w:rFonts w:ascii="Times New Roman" w:hAnsi="Times New Roman" w:eastAsia="仿宋_GB2312" w:cs="Times New Roman"/>
          <w:color w:val="000000"/>
          <w:kern w:val="0"/>
          <w:sz w:val="28"/>
          <w:szCs w:val="28"/>
          <w:shd w:val="clear" w:color="auto" w:fill="FFFFFF"/>
        </w:rPr>
        <w:t>依申请公开情况。</w:t>
      </w:r>
    </w:p>
    <w:p>
      <w:pPr>
        <w:widowControl/>
        <w:spacing w:line="450" w:lineRule="atLeast"/>
        <w:ind w:firstLine="480"/>
        <w:jc w:val="left"/>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我局不断规范和优化政府信息依申请公开程序,推进政府信息依申请公开工作有序、高效开展。</w:t>
      </w:r>
      <w:r>
        <w:rPr>
          <w:rFonts w:hint="eastAsia" w:ascii="Times New Roman" w:hAnsi="Times New Roman" w:eastAsia="仿宋_GB2312" w:cs="Times New Roman"/>
          <w:color w:val="333333"/>
          <w:kern w:val="0"/>
          <w:sz w:val="28"/>
          <w:szCs w:val="28"/>
        </w:rPr>
        <w:t>202</w:t>
      </w:r>
      <w:r>
        <w:rPr>
          <w:rFonts w:ascii="Times New Roman" w:hAnsi="Times New Roman" w:eastAsia="仿宋_GB2312" w:cs="Times New Roman"/>
          <w:color w:val="333333"/>
          <w:kern w:val="0"/>
          <w:sz w:val="28"/>
          <w:szCs w:val="28"/>
        </w:rPr>
        <w:t>2</w:t>
      </w:r>
      <w:r>
        <w:rPr>
          <w:rFonts w:hint="eastAsia" w:ascii="Times New Roman" w:hAnsi="Times New Roman" w:eastAsia="仿宋_GB2312" w:cs="Times New Roman"/>
          <w:color w:val="333333"/>
          <w:kern w:val="0"/>
          <w:sz w:val="28"/>
          <w:szCs w:val="28"/>
        </w:rPr>
        <w:t>年，我局未收到政府信息公开申请</w:t>
      </w:r>
      <w:bookmarkStart w:id="10" w:name="_GoBack"/>
      <w:bookmarkEnd w:id="10"/>
      <w:r>
        <w:rPr>
          <w:rFonts w:ascii="Times New Roman" w:hAnsi="Times New Roman" w:eastAsia="仿宋_GB2312" w:cs="Times New Roman"/>
          <w:color w:val="333333"/>
          <w:kern w:val="0"/>
          <w:sz w:val="28"/>
          <w:szCs w:val="28"/>
        </w:rPr>
        <w:t>。</w:t>
      </w:r>
    </w:p>
    <w:p>
      <w:pPr>
        <w:widowControl/>
        <w:spacing w:line="450" w:lineRule="atLeast"/>
        <w:ind w:firstLine="480"/>
        <w:jc w:val="left"/>
        <w:rPr>
          <w:rFonts w:ascii="Times New Roman" w:hAnsi="Times New Roman" w:eastAsia="仿宋_GB2312" w:cs="Times New Roman"/>
          <w:color w:val="333333"/>
          <w:kern w:val="0"/>
          <w:sz w:val="28"/>
          <w:szCs w:val="28"/>
        </w:rPr>
      </w:pPr>
      <w:r>
        <w:rPr>
          <w:rFonts w:hint="eastAsia" w:ascii="Times New Roman" w:hAnsi="Times New Roman" w:eastAsia="仿宋_GB2312" w:cs="Times New Roman"/>
          <w:color w:val="000000"/>
          <w:kern w:val="0"/>
          <w:sz w:val="28"/>
          <w:szCs w:val="28"/>
          <w:shd w:val="clear" w:color="auto" w:fill="FFFFFF"/>
          <w:lang w:eastAsia="zh-CN"/>
        </w:rPr>
        <w:t>（三）</w:t>
      </w:r>
      <w:r>
        <w:rPr>
          <w:rFonts w:ascii="Times New Roman" w:hAnsi="Times New Roman" w:eastAsia="仿宋_GB2312" w:cs="Times New Roman"/>
          <w:color w:val="000000"/>
          <w:kern w:val="0"/>
          <w:sz w:val="28"/>
          <w:szCs w:val="28"/>
          <w:shd w:val="clear" w:color="auto" w:fill="FFFFFF"/>
        </w:rPr>
        <w:t>政府信息管理情况。</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一是严格落实《</w:t>
      </w:r>
      <w:r>
        <w:rPr>
          <w:rFonts w:hint="eastAsia" w:ascii="Times New Roman" w:hAnsi="Times New Roman" w:eastAsia="仿宋_GB2312" w:cs="Times New Roman"/>
          <w:color w:val="333333"/>
          <w:kern w:val="0"/>
          <w:sz w:val="28"/>
          <w:szCs w:val="28"/>
          <w:lang w:eastAsia="zh-CN"/>
        </w:rPr>
        <w:t>汶上县</w:t>
      </w:r>
      <w:r>
        <w:rPr>
          <w:rFonts w:ascii="Times New Roman" w:hAnsi="Times New Roman" w:eastAsia="仿宋_GB2312" w:cs="Times New Roman"/>
          <w:color w:val="333333"/>
          <w:kern w:val="0"/>
          <w:sz w:val="28"/>
          <w:szCs w:val="28"/>
        </w:rPr>
        <w:t>信访局政府门户网站安全管理工作制度》，按照政府信息公开工作领导小组工作机制，由局办公室统筹协调政务信息公开工作，各科室密切配合，及时向群众提供我局工作动态。二是进一步规范政务信息公开保密审查审批流程，按照三级审核、先审后发原则，确保公开信息的合法性、准确性、严肃性，在做好政务公开工作的同时做好保密工作。三是本着公正、公平、合法、便民的原则，完善《</w:t>
      </w:r>
      <w:r>
        <w:rPr>
          <w:rFonts w:hint="eastAsia" w:ascii="Times New Roman" w:hAnsi="Times New Roman" w:eastAsia="仿宋_GB2312" w:cs="Times New Roman"/>
          <w:color w:val="333333"/>
          <w:kern w:val="0"/>
          <w:sz w:val="28"/>
          <w:szCs w:val="28"/>
          <w:lang w:eastAsia="zh-CN"/>
        </w:rPr>
        <w:t>汶上县</w:t>
      </w:r>
      <w:r>
        <w:rPr>
          <w:rFonts w:ascii="Times New Roman" w:hAnsi="Times New Roman" w:eastAsia="仿宋_GB2312" w:cs="Times New Roman"/>
          <w:color w:val="333333"/>
          <w:kern w:val="0"/>
          <w:sz w:val="28"/>
          <w:szCs w:val="28"/>
        </w:rPr>
        <w:t>信访局政府信息公开指南》，方便群众快速准确找到我局政府公开信息。</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Times New Roman" w:hAnsi="Times New Roman" w:eastAsia="仿宋_GB2312" w:cs="Times New Roman"/>
          <w:color w:val="000000"/>
          <w:kern w:val="0"/>
          <w:sz w:val="28"/>
          <w:szCs w:val="28"/>
          <w:shd w:val="clear" w:color="auto" w:fill="FFFFFF"/>
        </w:rPr>
      </w:pPr>
      <w:r>
        <w:rPr>
          <w:rFonts w:hint="eastAsia" w:ascii="Times New Roman" w:hAnsi="Times New Roman" w:eastAsia="仿宋_GB2312" w:cs="Times New Roman"/>
          <w:color w:val="000000"/>
          <w:kern w:val="0"/>
          <w:sz w:val="28"/>
          <w:szCs w:val="28"/>
          <w:shd w:val="clear" w:color="auto" w:fill="FFFFFF"/>
          <w:lang w:eastAsia="zh-CN"/>
        </w:rPr>
        <w:t>（四）政府信息公开</w:t>
      </w:r>
      <w:r>
        <w:rPr>
          <w:rFonts w:ascii="Times New Roman" w:hAnsi="Times New Roman" w:eastAsia="仿宋_GB2312" w:cs="Times New Roman"/>
          <w:color w:val="000000"/>
          <w:kern w:val="0"/>
          <w:sz w:val="28"/>
          <w:szCs w:val="28"/>
          <w:shd w:val="clear" w:color="auto" w:fill="FFFFFF"/>
        </w:rPr>
        <w:t>平台建设情况。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规范政府网站集约化平台工作，通过</w:t>
      </w:r>
      <w:r>
        <w:rPr>
          <w:rFonts w:hint="eastAsia" w:ascii="Times New Roman" w:hAnsi="Times New Roman" w:eastAsia="仿宋_GB2312" w:cs="Times New Roman"/>
          <w:color w:val="333333"/>
          <w:kern w:val="0"/>
          <w:sz w:val="28"/>
          <w:szCs w:val="28"/>
          <w:lang w:eastAsia="zh-CN"/>
        </w:rPr>
        <w:t>汶上县</w:t>
      </w:r>
      <w:r>
        <w:rPr>
          <w:rFonts w:ascii="Times New Roman" w:hAnsi="Times New Roman" w:eastAsia="仿宋_GB2312" w:cs="Times New Roman"/>
          <w:color w:val="333333"/>
          <w:kern w:val="0"/>
          <w:sz w:val="28"/>
          <w:szCs w:val="28"/>
        </w:rPr>
        <w:t>政府门户网站、“</w:t>
      </w:r>
      <w:r>
        <w:rPr>
          <w:rFonts w:hint="eastAsia" w:ascii="Times New Roman" w:hAnsi="Times New Roman" w:eastAsia="仿宋_GB2312" w:cs="Times New Roman"/>
          <w:color w:val="333333"/>
          <w:kern w:val="0"/>
          <w:sz w:val="28"/>
          <w:szCs w:val="28"/>
          <w:lang w:eastAsia="zh-CN"/>
        </w:rPr>
        <w:t>汶上阳光</w:t>
      </w:r>
      <w:r>
        <w:rPr>
          <w:rFonts w:ascii="Times New Roman" w:hAnsi="Times New Roman" w:eastAsia="仿宋_GB2312" w:cs="Times New Roman"/>
          <w:color w:val="333333"/>
          <w:kern w:val="0"/>
          <w:sz w:val="28"/>
          <w:szCs w:val="28"/>
        </w:rPr>
        <w:t>信访”微信公众号</w:t>
      </w:r>
      <w:r>
        <w:rPr>
          <w:rFonts w:hint="eastAsia" w:ascii="Times New Roman" w:hAnsi="Times New Roman" w:eastAsia="仿宋_GB2312" w:cs="Times New Roman"/>
          <w:color w:val="333333"/>
          <w:kern w:val="0"/>
          <w:sz w:val="28"/>
          <w:szCs w:val="28"/>
          <w:lang w:eastAsia="zh-CN"/>
        </w:rPr>
        <w:t>等</w:t>
      </w:r>
      <w:r>
        <w:rPr>
          <w:rFonts w:ascii="Times New Roman" w:hAnsi="Times New Roman" w:eastAsia="仿宋_GB2312" w:cs="Times New Roman"/>
          <w:color w:val="333333"/>
          <w:kern w:val="0"/>
          <w:sz w:val="28"/>
          <w:szCs w:val="28"/>
        </w:rPr>
        <w:t>线上平台公开信息，线下辅以</w:t>
      </w:r>
      <w:r>
        <w:rPr>
          <w:rFonts w:hint="eastAsia" w:ascii="Times New Roman" w:hAnsi="Times New Roman" w:eastAsia="仿宋_GB2312" w:cs="Times New Roman"/>
          <w:color w:val="333333"/>
          <w:kern w:val="0"/>
          <w:sz w:val="28"/>
          <w:szCs w:val="28"/>
          <w:lang w:eastAsia="zh-CN"/>
        </w:rPr>
        <w:t>县和为贵</w:t>
      </w:r>
      <w:r>
        <w:rPr>
          <w:rFonts w:ascii="Times New Roman" w:hAnsi="Times New Roman" w:eastAsia="仿宋_GB2312" w:cs="Times New Roman"/>
          <w:color w:val="333333"/>
          <w:kern w:val="0"/>
          <w:sz w:val="28"/>
          <w:szCs w:val="28"/>
        </w:rPr>
        <w:t>服务大厅电子显示屏、宣传栏等平台，多渠道多方式向社会及时公开</w:t>
      </w:r>
      <w:r>
        <w:rPr>
          <w:rFonts w:hint="eastAsia" w:ascii="Times New Roman" w:hAnsi="Times New Roman" w:eastAsia="仿宋_GB2312" w:cs="Times New Roman"/>
          <w:color w:val="333333"/>
          <w:kern w:val="0"/>
          <w:sz w:val="28"/>
          <w:szCs w:val="28"/>
          <w:lang w:eastAsia="zh-CN"/>
        </w:rPr>
        <w:t>县级领导接访日</w:t>
      </w:r>
      <w:r>
        <w:rPr>
          <w:rFonts w:ascii="Times New Roman" w:hAnsi="Times New Roman" w:eastAsia="仿宋_GB2312" w:cs="Times New Roman"/>
          <w:color w:val="333333"/>
          <w:kern w:val="0"/>
          <w:sz w:val="28"/>
          <w:szCs w:val="28"/>
        </w:rPr>
        <w:t>信息，提高信访工作透明度。</w:t>
      </w:r>
    </w:p>
    <w:p>
      <w:pPr>
        <w:keepNext w:val="0"/>
        <w:keepLines w:val="0"/>
        <w:pageBreakBefore w:val="0"/>
        <w:widowControl/>
        <w:numPr>
          <w:ilvl w:val="0"/>
          <w:numId w:val="0"/>
        </w:numPr>
        <w:kinsoku/>
        <w:wordWrap/>
        <w:overflowPunct/>
        <w:topLinePunct w:val="0"/>
        <w:autoSpaceDE/>
        <w:autoSpaceDN/>
        <w:bidi w:val="0"/>
        <w:adjustRightInd/>
        <w:snapToGrid/>
        <w:spacing w:line="480" w:lineRule="atLeast"/>
        <w:ind w:firstLine="560" w:firstLineChars="200"/>
        <w:jc w:val="left"/>
        <w:textAlignment w:val="auto"/>
        <w:rPr>
          <w:rFonts w:ascii="Times New Roman" w:hAnsi="Times New Roman" w:eastAsia="仿宋_GB2312" w:cs="Times New Roman"/>
          <w:color w:val="000000"/>
          <w:kern w:val="0"/>
          <w:sz w:val="28"/>
          <w:szCs w:val="28"/>
          <w:shd w:val="clear" w:color="auto" w:fill="FFFFFF"/>
        </w:rPr>
      </w:pPr>
      <w:r>
        <w:rPr>
          <w:rFonts w:hint="eastAsia" w:ascii="Times New Roman" w:hAnsi="Times New Roman" w:eastAsia="仿宋_GB2312" w:cs="Times New Roman"/>
          <w:color w:val="000000"/>
          <w:kern w:val="0"/>
          <w:sz w:val="28"/>
          <w:szCs w:val="28"/>
          <w:shd w:val="clear" w:color="auto" w:fill="FFFFFF"/>
          <w:lang w:eastAsia="zh-CN"/>
        </w:rPr>
        <w:t>（五）</w:t>
      </w:r>
      <w:r>
        <w:rPr>
          <w:rFonts w:ascii="Times New Roman" w:hAnsi="Times New Roman" w:eastAsia="仿宋_GB2312" w:cs="Times New Roman"/>
          <w:color w:val="000000"/>
          <w:kern w:val="0"/>
          <w:sz w:val="28"/>
          <w:szCs w:val="28"/>
          <w:shd w:val="clear" w:color="auto" w:fill="FFFFFF"/>
        </w:rPr>
        <w:t>监督保障情况。</w:t>
      </w:r>
    </w:p>
    <w:p>
      <w:pPr>
        <w:keepNext w:val="0"/>
        <w:keepLines w:val="0"/>
        <w:pageBreakBefore w:val="0"/>
        <w:widowControl/>
        <w:numPr>
          <w:ilvl w:val="0"/>
          <w:numId w:val="0"/>
        </w:numPr>
        <w:kinsoku/>
        <w:wordWrap/>
        <w:overflowPunct/>
        <w:topLinePunct w:val="0"/>
        <w:autoSpaceDE/>
        <w:autoSpaceDN/>
        <w:bidi w:val="0"/>
        <w:adjustRightInd/>
        <w:snapToGrid/>
        <w:spacing w:line="480" w:lineRule="atLeast"/>
        <w:ind w:firstLine="560" w:firstLineChars="200"/>
        <w:jc w:val="left"/>
        <w:textAlignment w:val="auto"/>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局党组高度重视政务信息公开工作，局长带头学习《信息公开条例》和上级关于政务信息公开工作的相关规定，领会精神实质，积极采取有效措施加强宣传，并结合实际抓好贯彻落实。通过各种形式的宣传教育，切实提高机关干部政务信息公开工作的意识，增强政务信息公开工作的自觉性和主动性。今年以来，局党组2次召开专题会议安排部署政府信息公开工作，进一步明确了科室工作任务，压实了工作责任，明确了工作目标，确保政务公开工作落实到位。</w:t>
      </w:r>
    </w:p>
    <w:p>
      <w:pPr>
        <w:widowControl/>
        <w:spacing w:line="480" w:lineRule="atLeast"/>
        <w:ind w:firstLine="420"/>
        <w:jc w:val="left"/>
        <w:rPr>
          <w:rFonts w:ascii="Times New Roman" w:hAnsi="Times New Roman" w:eastAsia="仿宋_GB2312" w:cs="Times New Roman"/>
          <w:color w:val="333333"/>
          <w:kern w:val="0"/>
          <w:sz w:val="28"/>
          <w:szCs w:val="28"/>
        </w:rPr>
      </w:pPr>
      <w:r>
        <w:rPr>
          <w:rFonts w:hint="eastAsia" w:ascii="仿宋_GB2312" w:hAnsi="宋体" w:eastAsia="仿宋_GB2312" w:cs="Arial"/>
          <w:b/>
          <w:bCs/>
          <w:color w:val="000000"/>
          <w:kern w:val="0"/>
          <w:sz w:val="28"/>
          <w:szCs w:val="28"/>
          <w:shd w:val="clear" w:color="auto" w:fill="FFFFFF"/>
        </w:rPr>
        <w:t>二、主动公开政府信息情况</w:t>
      </w:r>
    </w:p>
    <w:tbl>
      <w:tblPr>
        <w:tblStyle w:val="6"/>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黑体简体" w:hAnsi="黑体" w:eastAsia="方正黑体简体" w:cs="宋体"/>
                <w:b/>
                <w:color w:val="000000"/>
                <w:sz w:val="24"/>
                <w:szCs w:val="24"/>
              </w:rPr>
            </w:pPr>
            <w:r>
              <w:rPr>
                <w:rFonts w:hint="eastAsia" w:ascii="方正黑体简体" w:hAnsi="黑体" w:eastAsia="方正黑体简体" w:cs="宋体"/>
                <w:b/>
                <w:color w:val="000000"/>
                <w:sz w:val="24"/>
                <w:szCs w:val="24"/>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本年制发件数</w:t>
            </w:r>
          </w:p>
        </w:tc>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本年废止件数</w:t>
            </w:r>
          </w:p>
        </w:tc>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规章</w:t>
            </w:r>
          </w:p>
        </w:tc>
        <w:tc>
          <w:tcPr>
            <w:tcW w:w="2206" w:type="dxa"/>
            <w:shd w:val="clear" w:color="auto" w:fill="FFFFFF"/>
            <w:noWrap w:val="0"/>
            <w:vAlign w:val="center"/>
          </w:tcPr>
          <w:p>
            <w:pPr>
              <w:widowControl/>
              <w:spacing w:line="340" w:lineRule="exact"/>
              <w:jc w:val="left"/>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rPr>
              <w:t>　　</w:t>
            </w:r>
            <w:r>
              <w:rPr>
                <w:rFonts w:hint="eastAsia" w:ascii="方正仿宋简体" w:hAnsi="宋体" w:eastAsia="方正仿宋简体" w:cs="宋体"/>
                <w:b/>
                <w:color w:val="000000"/>
                <w:sz w:val="24"/>
                <w:szCs w:val="24"/>
                <w:lang w:val="en-US" w:eastAsia="zh-CN"/>
              </w:rPr>
              <w:t>0</w:t>
            </w:r>
          </w:p>
        </w:tc>
        <w:tc>
          <w:tcPr>
            <w:tcW w:w="2206" w:type="dxa"/>
            <w:shd w:val="clear" w:color="auto" w:fill="FFFFFF"/>
            <w:noWrap w:val="0"/>
            <w:vAlign w:val="center"/>
          </w:tcPr>
          <w:p>
            <w:pPr>
              <w:widowControl/>
              <w:spacing w:line="340" w:lineRule="exact"/>
              <w:jc w:val="left"/>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rPr>
              <w:t> 　</w:t>
            </w:r>
            <w:r>
              <w:rPr>
                <w:rFonts w:hint="eastAsia" w:ascii="方正仿宋简体" w:hAnsi="宋体" w:eastAsia="方正仿宋简体" w:cs="宋体"/>
                <w:b/>
                <w:color w:val="000000"/>
                <w:sz w:val="24"/>
                <w:szCs w:val="24"/>
                <w:lang w:val="en-US" w:eastAsia="zh-CN"/>
              </w:rPr>
              <w:t>0</w:t>
            </w:r>
          </w:p>
        </w:tc>
        <w:tc>
          <w:tcPr>
            <w:tcW w:w="2206" w:type="dxa"/>
            <w:shd w:val="clear" w:color="auto" w:fill="FFFFFF"/>
            <w:noWrap w:val="0"/>
            <w:vAlign w:val="center"/>
          </w:tcPr>
          <w:p>
            <w:pPr>
              <w:widowControl/>
              <w:spacing w:line="340" w:lineRule="exact"/>
              <w:jc w:val="left"/>
              <w:rPr>
                <w:rFonts w:hint="eastAsia" w:ascii="方正仿宋简体" w:hAnsi="Calibri" w:eastAsia="方正仿宋简体" w:cs="Calibri"/>
                <w:b/>
                <w:color w:val="000000"/>
                <w:sz w:val="24"/>
                <w:szCs w:val="24"/>
                <w:lang w:val="en-US" w:eastAsia="zh-CN"/>
              </w:rPr>
            </w:pPr>
            <w:r>
              <w:rPr>
                <w:rFonts w:hint="eastAsia" w:ascii="方正仿宋简体" w:hAnsi="Calibri" w:eastAsia="方正仿宋简体" w:cs="Calibri"/>
                <w:b/>
                <w:color w:val="000000"/>
                <w:sz w:val="24"/>
                <w:szCs w:val="24"/>
              </w:rPr>
              <w:t>　</w:t>
            </w:r>
            <w:r>
              <w:rPr>
                <w:rFonts w:hint="eastAsia" w:ascii="方正仿宋简体" w:hAnsi="Calibri" w:eastAsia="方正仿宋简体" w:cs="Calibri"/>
                <w:b/>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行政规范性文件</w:t>
            </w:r>
          </w:p>
        </w:tc>
        <w:tc>
          <w:tcPr>
            <w:tcW w:w="2206" w:type="dxa"/>
            <w:shd w:val="clear" w:color="auto" w:fill="FFFFFF"/>
            <w:noWrap w:val="0"/>
            <w:vAlign w:val="center"/>
          </w:tcPr>
          <w:p>
            <w:pPr>
              <w:widowControl/>
              <w:spacing w:line="340" w:lineRule="exact"/>
              <w:jc w:val="left"/>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rPr>
              <w:t>　　</w:t>
            </w:r>
            <w:r>
              <w:rPr>
                <w:rFonts w:hint="eastAsia" w:ascii="方正仿宋简体" w:hAnsi="宋体" w:eastAsia="方正仿宋简体" w:cs="宋体"/>
                <w:b/>
                <w:color w:val="000000"/>
                <w:sz w:val="24"/>
                <w:szCs w:val="24"/>
                <w:lang w:val="en-US" w:eastAsia="zh-CN"/>
              </w:rPr>
              <w:t>0</w:t>
            </w:r>
          </w:p>
        </w:tc>
        <w:tc>
          <w:tcPr>
            <w:tcW w:w="2206" w:type="dxa"/>
            <w:shd w:val="clear" w:color="auto" w:fill="FFFFFF"/>
            <w:noWrap w:val="0"/>
            <w:vAlign w:val="center"/>
          </w:tcPr>
          <w:p>
            <w:pPr>
              <w:widowControl/>
              <w:spacing w:line="340" w:lineRule="exact"/>
              <w:jc w:val="left"/>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rPr>
              <w:t> 　</w:t>
            </w:r>
            <w:r>
              <w:rPr>
                <w:rFonts w:hint="eastAsia" w:ascii="方正仿宋简体" w:hAnsi="宋体" w:eastAsia="方正仿宋简体" w:cs="宋体"/>
                <w:b/>
                <w:color w:val="000000"/>
                <w:sz w:val="24"/>
                <w:szCs w:val="24"/>
                <w:lang w:val="en-US" w:eastAsia="zh-CN"/>
              </w:rPr>
              <w:t>0</w:t>
            </w:r>
          </w:p>
        </w:tc>
        <w:tc>
          <w:tcPr>
            <w:tcW w:w="2206" w:type="dxa"/>
            <w:shd w:val="clear" w:color="auto" w:fill="FFFFFF"/>
            <w:noWrap w:val="0"/>
            <w:vAlign w:val="center"/>
          </w:tcPr>
          <w:p>
            <w:pPr>
              <w:widowControl/>
              <w:spacing w:line="340" w:lineRule="exact"/>
              <w:jc w:val="left"/>
              <w:rPr>
                <w:rFonts w:hint="eastAsia" w:ascii="方正仿宋简体" w:hAnsi="Calibri" w:eastAsia="方正仿宋简体" w:cs="Calibri"/>
                <w:b/>
                <w:color w:val="000000"/>
                <w:sz w:val="24"/>
                <w:szCs w:val="24"/>
                <w:lang w:val="en-US" w:eastAsia="zh-CN"/>
              </w:rPr>
            </w:pPr>
            <w:r>
              <w:rPr>
                <w:rFonts w:hint="eastAsia" w:ascii="方正仿宋简体" w:hAnsi="Calibri" w:eastAsia="方正仿宋简体" w:cs="Calibri"/>
                <w:b/>
                <w:color w:val="000000"/>
                <w:sz w:val="24"/>
                <w:szCs w:val="24"/>
              </w:rPr>
              <w:t>　</w:t>
            </w:r>
            <w:r>
              <w:rPr>
                <w:rFonts w:hint="eastAsia" w:ascii="方正仿宋简体" w:hAnsi="Calibri" w:eastAsia="方正仿宋简体" w:cs="Calibri"/>
                <w:b/>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仿宋简体" w:hAnsi="黑体" w:eastAsia="方正仿宋简体" w:cs="宋体"/>
                <w:b/>
                <w:color w:val="000000"/>
                <w:sz w:val="24"/>
                <w:szCs w:val="24"/>
              </w:rPr>
            </w:pPr>
            <w:r>
              <w:rPr>
                <w:rFonts w:hint="eastAsia" w:ascii="方正黑体简体" w:hAnsi="黑体" w:eastAsia="方正黑体简体" w:cs="宋体"/>
                <w:b/>
                <w:color w:val="000000"/>
                <w:sz w:val="24"/>
                <w:szCs w:val="24"/>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6618" w:type="dxa"/>
            <w:gridSpan w:val="3"/>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行政许可</w:t>
            </w:r>
          </w:p>
        </w:tc>
        <w:tc>
          <w:tcPr>
            <w:tcW w:w="6618" w:type="dxa"/>
            <w:gridSpan w:val="3"/>
            <w:shd w:val="clear" w:color="auto" w:fill="FFFFFF"/>
            <w:noWrap w:val="0"/>
            <w:vAlign w:val="center"/>
          </w:tcPr>
          <w:p>
            <w:pPr>
              <w:widowControl/>
              <w:spacing w:line="340" w:lineRule="exact"/>
              <w:jc w:val="left"/>
              <w:rPr>
                <w:rFonts w:hint="eastAsia" w:ascii="方正仿宋简体" w:hAnsi="Calibri" w:eastAsia="方正仿宋简体" w:cs="Calibri"/>
                <w:b/>
                <w:color w:val="000000"/>
                <w:sz w:val="24"/>
                <w:szCs w:val="24"/>
                <w:lang w:val="en-US" w:eastAsia="zh-CN"/>
              </w:rPr>
            </w:pPr>
            <w:r>
              <w:rPr>
                <w:rFonts w:hint="eastAsia" w:ascii="方正仿宋简体" w:hAnsi="Calibri" w:eastAsia="方正仿宋简体" w:cs="Calibri"/>
                <w:b/>
                <w:color w:val="000000"/>
                <w:sz w:val="24"/>
                <w:szCs w:val="24"/>
              </w:rPr>
              <w:t>　</w:t>
            </w:r>
            <w:r>
              <w:rPr>
                <w:rFonts w:hint="eastAsia" w:ascii="方正仿宋简体" w:hAnsi="Calibri" w:eastAsia="方正仿宋简体" w:cs="Calibri"/>
                <w:b/>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仿宋简体" w:hAnsi="黑体" w:eastAsia="方正仿宋简体" w:cs="宋体"/>
                <w:b/>
                <w:color w:val="000000"/>
                <w:sz w:val="24"/>
                <w:szCs w:val="24"/>
              </w:rPr>
            </w:pPr>
            <w:r>
              <w:rPr>
                <w:rFonts w:hint="eastAsia" w:ascii="方正黑体简体" w:hAnsi="黑体" w:eastAsia="方正黑体简体" w:cs="宋体"/>
                <w:b/>
                <w:color w:val="000000"/>
                <w:sz w:val="24"/>
                <w:szCs w:val="24"/>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6618" w:type="dxa"/>
            <w:gridSpan w:val="3"/>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行政处罚</w:t>
            </w:r>
          </w:p>
        </w:tc>
        <w:tc>
          <w:tcPr>
            <w:tcW w:w="6618" w:type="dxa"/>
            <w:gridSpan w:val="3"/>
            <w:shd w:val="clear" w:color="auto" w:fill="FFFFFF"/>
            <w:noWrap w:val="0"/>
            <w:vAlign w:val="center"/>
          </w:tcPr>
          <w:p>
            <w:pPr>
              <w:widowControl/>
              <w:spacing w:line="340" w:lineRule="exact"/>
              <w:jc w:val="left"/>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rPr>
              <w:t>　</w:t>
            </w:r>
            <w:r>
              <w:rPr>
                <w:rFonts w:hint="eastAsia" w:ascii="方正仿宋简体" w:hAnsi="宋体" w:eastAsia="方正仿宋简体" w:cs="宋体"/>
                <w:b/>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行政强制</w:t>
            </w:r>
          </w:p>
        </w:tc>
        <w:tc>
          <w:tcPr>
            <w:tcW w:w="6618" w:type="dxa"/>
            <w:gridSpan w:val="3"/>
            <w:shd w:val="clear" w:color="auto" w:fill="FFFFFF"/>
            <w:noWrap w:val="0"/>
            <w:vAlign w:val="center"/>
          </w:tcPr>
          <w:p>
            <w:pPr>
              <w:widowControl/>
              <w:spacing w:line="340" w:lineRule="exact"/>
              <w:jc w:val="left"/>
              <w:rPr>
                <w:rFonts w:hint="eastAsia" w:ascii="方正仿宋简体" w:hAnsi="宋体" w:eastAsia="方正仿宋简体" w:cs="宋体"/>
                <w:b/>
                <w:color w:val="000000"/>
                <w:sz w:val="24"/>
                <w:szCs w:val="24"/>
                <w:lang w:val="en-US" w:eastAsia="zh-CN"/>
              </w:rPr>
            </w:pPr>
            <w:r>
              <w:rPr>
                <w:rFonts w:hint="eastAsia" w:ascii="方正仿宋简体" w:hAnsi="宋体" w:eastAsia="方正仿宋简体" w:cs="宋体"/>
                <w:b/>
                <w:color w:val="000000"/>
                <w:sz w:val="24"/>
                <w:szCs w:val="24"/>
              </w:rPr>
              <w:t>　</w:t>
            </w:r>
            <w:r>
              <w:rPr>
                <w:rFonts w:hint="eastAsia" w:ascii="方正仿宋简体" w:hAnsi="宋体" w:eastAsia="方正仿宋简体" w:cs="宋体"/>
                <w:b/>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仿宋简体" w:hAnsi="黑体" w:eastAsia="方正仿宋简体" w:cs="宋体"/>
                <w:b/>
                <w:color w:val="000000"/>
                <w:sz w:val="24"/>
                <w:szCs w:val="24"/>
              </w:rPr>
            </w:pPr>
            <w:r>
              <w:rPr>
                <w:rFonts w:hint="eastAsia" w:ascii="方正黑体简体" w:hAnsi="黑体" w:eastAsia="方正黑体简体" w:cs="宋体"/>
                <w:b/>
                <w:color w:val="000000"/>
                <w:sz w:val="24"/>
                <w:szCs w:val="24"/>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信息内容</w:t>
            </w:r>
          </w:p>
        </w:tc>
        <w:tc>
          <w:tcPr>
            <w:tcW w:w="6618" w:type="dxa"/>
            <w:gridSpan w:val="3"/>
            <w:shd w:val="clear" w:color="auto" w:fill="FFFFFF"/>
            <w:noWrap w:val="0"/>
            <w:vAlign w:val="center"/>
          </w:tcPr>
          <w:p>
            <w:pPr>
              <w:widowControl/>
              <w:spacing w:line="340" w:lineRule="exact"/>
              <w:jc w:val="center"/>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color w:val="000000"/>
                <w:sz w:val="24"/>
                <w:szCs w:val="24"/>
              </w:rPr>
            </w:pPr>
            <w:r>
              <w:rPr>
                <w:rFonts w:hint="eastAsia" w:ascii="方正仿宋简体" w:hAnsi="宋体" w:eastAsia="方正仿宋简体" w:cs="宋体"/>
                <w:b/>
                <w:color w:val="000000"/>
                <w:sz w:val="24"/>
                <w:szCs w:val="24"/>
              </w:rPr>
              <w:t>行政事业性收费</w:t>
            </w:r>
          </w:p>
        </w:tc>
        <w:tc>
          <w:tcPr>
            <w:tcW w:w="6618" w:type="dxa"/>
            <w:gridSpan w:val="3"/>
            <w:shd w:val="clear" w:color="auto" w:fill="FFFFFF"/>
            <w:noWrap w:val="0"/>
            <w:vAlign w:val="center"/>
          </w:tcPr>
          <w:p>
            <w:pPr>
              <w:widowControl/>
              <w:spacing w:line="340" w:lineRule="exact"/>
              <w:jc w:val="left"/>
              <w:rPr>
                <w:rFonts w:hint="eastAsia" w:ascii="方正仿宋简体" w:hAnsi="Calibri" w:eastAsia="方正仿宋简体" w:cs="Calibri"/>
                <w:b/>
                <w:color w:val="000000"/>
                <w:sz w:val="24"/>
                <w:szCs w:val="24"/>
                <w:lang w:val="en-US" w:eastAsia="zh-CN"/>
              </w:rPr>
            </w:pPr>
            <w:r>
              <w:rPr>
                <w:rFonts w:hint="eastAsia" w:ascii="方正仿宋简体" w:hAnsi="Calibri" w:eastAsia="方正仿宋简体" w:cs="Calibri"/>
                <w:b/>
                <w:color w:val="000000"/>
                <w:sz w:val="24"/>
                <w:szCs w:val="24"/>
              </w:rPr>
              <w:t>　</w:t>
            </w:r>
            <w:r>
              <w:rPr>
                <w:rFonts w:hint="eastAsia" w:ascii="方正仿宋简体" w:hAnsi="Calibri" w:eastAsia="方正仿宋简体" w:cs="Calibri"/>
                <w:b/>
                <w:color w:val="000000"/>
                <w:sz w:val="24"/>
                <w:szCs w:val="24"/>
                <w:lang w:val="en-US" w:eastAsia="zh-CN"/>
              </w:rPr>
              <w:t>0</w:t>
            </w:r>
          </w:p>
        </w:tc>
      </w:tr>
    </w:tbl>
    <w:p>
      <w:pPr>
        <w:widowControl/>
        <w:shd w:val="clear" w:color="auto" w:fill="FFFFFF"/>
        <w:spacing w:after="240" w:line="480" w:lineRule="atLeast"/>
        <w:ind w:firstLine="420"/>
        <w:rPr>
          <w:rFonts w:hint="eastAsia" w:ascii="仿宋_GB2312" w:hAnsi="宋体" w:eastAsia="仿宋_GB2312" w:cs="Arial"/>
          <w:b/>
          <w:bCs/>
          <w:color w:val="000000"/>
          <w:kern w:val="0"/>
          <w:sz w:val="28"/>
          <w:szCs w:val="28"/>
          <w:shd w:val="clear" w:color="auto" w:fill="FFFFFF"/>
        </w:rPr>
      </w:pPr>
    </w:p>
    <w:p>
      <w:pPr>
        <w:widowControl/>
        <w:shd w:val="clear" w:color="auto" w:fill="FFFFFF"/>
        <w:spacing w:after="240" w:line="480" w:lineRule="atLeast"/>
        <w:ind w:firstLine="420"/>
        <w:rPr>
          <w:rFonts w:ascii="仿宋_GB2312" w:hAnsi="Arial" w:eastAsia="仿宋_GB2312" w:cs="Arial"/>
          <w:b/>
          <w:color w:val="000000"/>
          <w:kern w:val="0"/>
          <w:sz w:val="28"/>
          <w:szCs w:val="28"/>
        </w:rPr>
      </w:pPr>
      <w:r>
        <w:rPr>
          <w:rFonts w:hint="eastAsia" w:ascii="仿宋_GB2312" w:hAnsi="宋体" w:eastAsia="仿宋_GB2312" w:cs="Arial"/>
          <w:b/>
          <w:bCs/>
          <w:color w:val="000000"/>
          <w:kern w:val="0"/>
          <w:sz w:val="28"/>
          <w:szCs w:val="28"/>
          <w:shd w:val="clear" w:color="auto" w:fill="FFFFFF"/>
        </w:rPr>
        <w:t>三、收到和处理政府信息公开申请情况</w:t>
      </w:r>
    </w:p>
    <w:tbl>
      <w:tblPr>
        <w:tblStyle w:val="6"/>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noWrap w:val="0"/>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（本列数据的勾稽关系为：第一项加第二项之和，</w:t>
            </w:r>
          </w:p>
          <w:p>
            <w:pPr>
              <w:widowControl/>
              <w:spacing w:line="260" w:lineRule="exact"/>
              <w:jc w:val="center"/>
              <w:rPr>
                <w:rFonts w:ascii="方正黑体简体" w:eastAsia="方正黑体简体"/>
                <w:b/>
                <w:sz w:val="21"/>
                <w:szCs w:val="21"/>
              </w:rPr>
            </w:pPr>
            <w:r>
              <w:rPr>
                <w:rFonts w:hint="eastAsia" w:ascii="方正黑体简体" w:hAnsi="黑体" w:eastAsia="方正黑体简体"/>
                <w:b/>
                <w:sz w:val="21"/>
                <w:szCs w:val="21"/>
              </w:rPr>
              <w:t>等于第三项加第四项之和）</w:t>
            </w:r>
          </w:p>
        </w:tc>
        <w:tc>
          <w:tcPr>
            <w:tcW w:w="4129" w:type="dxa"/>
            <w:gridSpan w:val="7"/>
            <w:noWrap w:val="0"/>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noWrap w:val="0"/>
            <w:tcMar>
              <w:left w:w="108" w:type="dxa"/>
              <w:right w:w="108" w:type="dxa"/>
            </w:tcMar>
            <w:vAlign w:val="center"/>
          </w:tcPr>
          <w:p>
            <w:pPr>
              <w:spacing w:line="260" w:lineRule="exact"/>
              <w:jc w:val="center"/>
              <w:rPr>
                <w:rFonts w:ascii="方正黑体简体" w:eastAsia="方正黑体简体"/>
                <w:b/>
                <w:sz w:val="21"/>
                <w:szCs w:val="21"/>
              </w:rPr>
            </w:pPr>
          </w:p>
        </w:tc>
        <w:tc>
          <w:tcPr>
            <w:tcW w:w="829" w:type="dxa"/>
            <w:vMerge w:val="restart"/>
            <w:noWrap w:val="0"/>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自然人</w:t>
            </w:r>
          </w:p>
        </w:tc>
        <w:tc>
          <w:tcPr>
            <w:tcW w:w="2839" w:type="dxa"/>
            <w:gridSpan w:val="5"/>
            <w:noWrap w:val="0"/>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法人或其他组织</w:t>
            </w:r>
          </w:p>
        </w:tc>
        <w:tc>
          <w:tcPr>
            <w:tcW w:w="461" w:type="dxa"/>
            <w:vMerge w:val="restart"/>
            <w:noWrap w:val="0"/>
            <w:tcMar>
              <w:left w:w="108" w:type="dxa"/>
              <w:right w:w="108" w:type="dxa"/>
            </w:tcMar>
            <w:vAlign w:val="center"/>
          </w:tcPr>
          <w:p>
            <w:pPr>
              <w:widowControl/>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noWrap w:val="0"/>
            <w:tcMar>
              <w:left w:w="108" w:type="dxa"/>
              <w:right w:w="108" w:type="dxa"/>
            </w:tcMar>
            <w:vAlign w:val="center"/>
          </w:tcPr>
          <w:p>
            <w:pPr>
              <w:spacing w:line="260" w:lineRule="exact"/>
              <w:jc w:val="center"/>
              <w:rPr>
                <w:rFonts w:ascii="方正仿宋简体" w:eastAsia="方正仿宋简体"/>
                <w:b/>
                <w:sz w:val="21"/>
                <w:szCs w:val="21"/>
              </w:rPr>
            </w:pPr>
          </w:p>
        </w:tc>
        <w:tc>
          <w:tcPr>
            <w:tcW w:w="829" w:type="dxa"/>
            <w:vMerge w:val="continue"/>
            <w:noWrap w:val="0"/>
            <w:tcMar>
              <w:left w:w="108" w:type="dxa"/>
              <w:right w:w="108" w:type="dxa"/>
            </w:tcMar>
            <w:vAlign w:val="center"/>
          </w:tcPr>
          <w:p>
            <w:pPr>
              <w:spacing w:line="260" w:lineRule="exact"/>
              <w:jc w:val="center"/>
              <w:rPr>
                <w:rFonts w:ascii="方正仿宋简体" w:hAnsi="黑体" w:eastAsia="方正仿宋简体"/>
                <w:b/>
                <w:sz w:val="21"/>
                <w:szCs w:val="21"/>
              </w:rPr>
            </w:pPr>
          </w:p>
        </w:tc>
        <w:tc>
          <w:tcPr>
            <w:tcW w:w="567" w:type="dxa"/>
            <w:noWrap w:val="0"/>
            <w:tcMar>
              <w:left w:w="108" w:type="dxa"/>
              <w:right w:w="108" w:type="dxa"/>
            </w:tcMar>
            <w:vAlign w:val="center"/>
          </w:tcPr>
          <w:p>
            <w:pPr>
              <w:widowControl/>
              <w:spacing w:line="260" w:lineRule="exact"/>
              <w:ind w:left="-106" w:leftChars="-51" w:right="-107"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商业企业</w:t>
            </w:r>
          </w:p>
        </w:tc>
        <w:tc>
          <w:tcPr>
            <w:tcW w:w="567" w:type="dxa"/>
            <w:noWrap w:val="0"/>
            <w:tcMar>
              <w:left w:w="108" w:type="dxa"/>
              <w:right w:w="108" w:type="dxa"/>
            </w:tcMar>
            <w:vAlign w:val="center"/>
          </w:tcPr>
          <w:p>
            <w:pPr>
              <w:widowControl/>
              <w:spacing w:line="260" w:lineRule="exact"/>
              <w:ind w:left="-107" w:leftChars="-51" w:right="-107" w:rightChars="-51"/>
              <w:jc w:val="center"/>
              <w:rPr>
                <w:rFonts w:ascii="方正黑体简体" w:hAnsi="黑体" w:eastAsia="方正黑体简体"/>
                <w:b/>
                <w:sz w:val="21"/>
                <w:szCs w:val="21"/>
              </w:rPr>
            </w:pPr>
            <w:r>
              <w:rPr>
                <w:rFonts w:hint="eastAsia" w:ascii="方正黑体简体" w:hAnsi="黑体" w:eastAsia="方正黑体简体"/>
                <w:b/>
                <w:sz w:val="21"/>
                <w:szCs w:val="21"/>
              </w:rPr>
              <w:t>科研机构</w:t>
            </w:r>
          </w:p>
        </w:tc>
        <w:tc>
          <w:tcPr>
            <w:tcW w:w="571" w:type="dxa"/>
            <w:noWrap w:val="0"/>
            <w:tcMar>
              <w:left w:w="108" w:type="dxa"/>
              <w:right w:w="108" w:type="dxa"/>
            </w:tcMar>
            <w:vAlign w:val="center"/>
          </w:tcPr>
          <w:p>
            <w:pPr>
              <w:widowControl/>
              <w:spacing w:line="260" w:lineRule="exact"/>
              <w:ind w:left="-107" w:leftChars="-51" w:right="-107" w:rightChars="-51"/>
              <w:jc w:val="center"/>
              <w:rPr>
                <w:rFonts w:ascii="方正黑体简体" w:hAnsi="黑体" w:eastAsia="方正黑体简体"/>
                <w:b/>
                <w:sz w:val="21"/>
                <w:szCs w:val="21"/>
              </w:rPr>
            </w:pPr>
            <w:r>
              <w:rPr>
                <w:rFonts w:hint="eastAsia" w:ascii="方正黑体简体" w:hAnsi="黑体" w:eastAsia="方正黑体简体"/>
                <w:b/>
                <w:sz w:val="21"/>
                <w:szCs w:val="21"/>
              </w:rPr>
              <w:t>社会公益组织</w:t>
            </w:r>
          </w:p>
        </w:tc>
        <w:tc>
          <w:tcPr>
            <w:tcW w:w="567" w:type="dxa"/>
            <w:noWrap w:val="0"/>
            <w:tcMar>
              <w:left w:w="108" w:type="dxa"/>
              <w:right w:w="108" w:type="dxa"/>
            </w:tcMar>
            <w:vAlign w:val="center"/>
          </w:tcPr>
          <w:p>
            <w:pPr>
              <w:widowControl/>
              <w:spacing w:line="260" w:lineRule="exact"/>
              <w:ind w:left="-106" w:leftChars="-51" w:right="-107"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法律服务机构</w:t>
            </w:r>
          </w:p>
        </w:tc>
        <w:tc>
          <w:tcPr>
            <w:tcW w:w="567" w:type="dxa"/>
            <w:noWrap w:val="0"/>
            <w:tcMar>
              <w:left w:w="108" w:type="dxa"/>
              <w:right w:w="108" w:type="dxa"/>
            </w:tcMar>
            <w:vAlign w:val="center"/>
          </w:tcPr>
          <w:p>
            <w:pPr>
              <w:widowControl/>
              <w:spacing w:line="260" w:lineRule="exact"/>
              <w:ind w:left="-63" w:leftChars="-30" w:right="-134" w:rightChars="-64"/>
              <w:jc w:val="center"/>
              <w:rPr>
                <w:rFonts w:ascii="方正黑体简体" w:hAnsi="黑体" w:eastAsia="方正黑体简体"/>
                <w:b/>
                <w:sz w:val="21"/>
                <w:szCs w:val="21"/>
              </w:rPr>
            </w:pPr>
            <w:r>
              <w:rPr>
                <w:rFonts w:hint="eastAsia" w:ascii="方正黑体简体" w:hAnsi="黑体" w:eastAsia="方正黑体简体"/>
                <w:b/>
                <w:sz w:val="21"/>
                <w:szCs w:val="21"/>
              </w:rPr>
              <w:t>其他</w:t>
            </w:r>
          </w:p>
        </w:tc>
        <w:tc>
          <w:tcPr>
            <w:tcW w:w="461" w:type="dxa"/>
            <w:vMerge w:val="continue"/>
            <w:noWrap w:val="0"/>
            <w:tcMar>
              <w:left w:w="108" w:type="dxa"/>
              <w:right w:w="108" w:type="dxa"/>
            </w:tcMar>
            <w:vAlign w:val="center"/>
          </w:tcPr>
          <w:p>
            <w:pPr>
              <w:spacing w:line="260" w:lineRule="exact"/>
              <w:jc w:val="center"/>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w:t>
            </w:r>
            <w:bookmarkStart w:id="0" w:name="_Hlk66973412"/>
            <w:r>
              <w:rPr>
                <w:rFonts w:hint="eastAsia" w:ascii="方正仿宋简体" w:hAnsi="黑体" w:eastAsia="方正仿宋简体"/>
                <w:b/>
                <w:sz w:val="21"/>
                <w:szCs w:val="21"/>
              </w:rPr>
              <w:t>本年新收政府信息公开申请数量</w:t>
            </w:r>
            <w:bookmarkEnd w:id="0"/>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二、上年结转政府信息公开申请数量</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三、本年度办理结果</w:t>
            </w:r>
          </w:p>
        </w:tc>
        <w:tc>
          <w:tcPr>
            <w:tcW w:w="3743" w:type="dxa"/>
            <w:gridSpan w:val="2"/>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（一）予以公开</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3743" w:type="dxa"/>
            <w:gridSpan w:val="2"/>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（二）部分公开（</w:t>
            </w:r>
            <w:bookmarkStart w:id="1" w:name="_Hlk66973981"/>
            <w:r>
              <w:rPr>
                <w:rFonts w:hint="eastAsia" w:ascii="方正仿宋简体" w:hAnsi="黑体" w:eastAsia="方正仿宋简体"/>
                <w:b/>
                <w:sz w:val="21"/>
                <w:szCs w:val="21"/>
              </w:rPr>
              <w:t>区分处理的，只计这一情形，不计其他情形</w:t>
            </w:r>
            <w:bookmarkEnd w:id="1"/>
            <w:r>
              <w:rPr>
                <w:rFonts w:hint="eastAsia" w:ascii="方正仿宋简体" w:hAnsi="黑体" w:eastAsia="方正仿宋简体"/>
                <w:b/>
                <w:sz w:val="21"/>
                <w:szCs w:val="21"/>
              </w:rPr>
              <w:t>）</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noWrap w:val="0"/>
            <w:tcMar>
              <w:left w:w="108" w:type="dxa"/>
              <w:right w:w="108" w:type="dxa"/>
            </w:tcMar>
            <w:vAlign w:val="center"/>
          </w:tcPr>
          <w:p>
            <w:pPr>
              <w:widowControl/>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（三）不予公开</w:t>
            </w: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1.属于国家秘密</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2" w:name="_Hlk66974104"/>
            <w:r>
              <w:rPr>
                <w:rFonts w:hint="eastAsia" w:ascii="方正仿宋简体" w:hAnsi="黑体" w:eastAsia="方正仿宋简体"/>
                <w:b/>
                <w:sz w:val="21"/>
                <w:szCs w:val="21"/>
              </w:rPr>
              <w:t>其他法律行政法规禁止公开</w:t>
            </w:r>
            <w:bookmarkEnd w:id="2"/>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3.危及“三安全一稳定”</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bookmarkStart w:id="3" w:name="_Hlk66974290"/>
            <w:r>
              <w:rPr>
                <w:rFonts w:hint="eastAsia" w:ascii="方正仿宋简体" w:hAnsi="黑体" w:eastAsia="方正仿宋简体"/>
                <w:b/>
                <w:sz w:val="21"/>
                <w:szCs w:val="21"/>
              </w:rPr>
              <w:t>保护第三方合法权益</w:t>
            </w:r>
            <w:bookmarkEnd w:id="3"/>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5.属于三类内部事务信息</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6.</w:t>
            </w:r>
            <w:bookmarkStart w:id="4" w:name="_Hlk66974555"/>
            <w:r>
              <w:rPr>
                <w:rFonts w:hint="eastAsia" w:ascii="方正仿宋简体" w:hAnsi="黑体" w:eastAsia="方正仿宋简体"/>
                <w:b/>
                <w:sz w:val="21"/>
                <w:szCs w:val="21"/>
              </w:rPr>
              <w:t>属于四类过程性信息</w:t>
            </w:r>
            <w:bookmarkEnd w:id="4"/>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7.属于行政执法案卷</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8.</w:t>
            </w:r>
            <w:bookmarkStart w:id="5" w:name="_Hlk66975211"/>
            <w:r>
              <w:rPr>
                <w:rFonts w:hint="eastAsia" w:ascii="方正仿宋简体" w:hAnsi="黑体" w:eastAsia="方正仿宋简体"/>
                <w:b/>
                <w:sz w:val="21"/>
                <w:szCs w:val="21"/>
              </w:rPr>
              <w:t>属于行政查询事项</w:t>
            </w:r>
            <w:bookmarkEnd w:id="5"/>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noWrap w:val="0"/>
            <w:tcMar>
              <w:left w:w="108" w:type="dxa"/>
              <w:right w:w="108" w:type="dxa"/>
            </w:tcMar>
            <w:vAlign w:val="center"/>
          </w:tcPr>
          <w:p>
            <w:pPr>
              <w:widowControl/>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（四）无法提供</w:t>
            </w: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1.本机关不掌握相关政府信息</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ind w:left="-107" w:leftChars="-51"/>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6" w:name="_Hlk66975392"/>
            <w:r>
              <w:rPr>
                <w:rFonts w:hint="eastAsia" w:ascii="方正仿宋简体" w:hAnsi="黑体" w:eastAsia="方正仿宋简体"/>
                <w:b/>
                <w:sz w:val="21"/>
                <w:szCs w:val="21"/>
              </w:rPr>
              <w:t>没有现成信息需要另行制作</w:t>
            </w:r>
            <w:bookmarkEnd w:id="6"/>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ind w:left="-107" w:leftChars="-51"/>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w:t>
            </w:r>
            <w:bookmarkStart w:id="7" w:name="_Hlk66975466"/>
            <w:r>
              <w:rPr>
                <w:rFonts w:hint="eastAsia" w:ascii="方正仿宋简体" w:hAnsi="黑体" w:eastAsia="方正仿宋简体"/>
                <w:b/>
                <w:spacing w:val="-8"/>
                <w:sz w:val="21"/>
                <w:szCs w:val="21"/>
              </w:rPr>
              <w:t>补正后申请内容仍不明确</w:t>
            </w:r>
            <w:bookmarkEnd w:id="7"/>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noWrap w:val="0"/>
            <w:tcMar>
              <w:left w:w="108" w:type="dxa"/>
              <w:right w:w="108" w:type="dxa"/>
            </w:tcMar>
            <w:vAlign w:val="center"/>
          </w:tcPr>
          <w:p>
            <w:pPr>
              <w:widowControl/>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（五）不予处理</w:t>
            </w: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w:t>
            </w:r>
            <w:bookmarkStart w:id="8" w:name="_Hlk66975537"/>
            <w:r>
              <w:rPr>
                <w:rFonts w:hint="eastAsia" w:ascii="方正仿宋简体" w:hAnsi="黑体" w:eastAsia="方正仿宋简体"/>
                <w:b/>
                <w:sz w:val="21"/>
                <w:szCs w:val="21"/>
              </w:rPr>
              <w:t>信访举报投诉类申请</w:t>
            </w:r>
            <w:bookmarkEnd w:id="8"/>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2.重复申请</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3.要求提供公开出版物</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r>
              <w:rPr>
                <w:rFonts w:hint="eastAsia" w:ascii="方正仿宋简体" w:hAnsi="黑体" w:eastAsia="方正仿宋简体"/>
                <w:b/>
                <w:spacing w:val="-8"/>
                <w:sz w:val="21"/>
                <w:szCs w:val="21"/>
              </w:rPr>
              <w:t>无正当理由大量反复申请</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5.要求行政机关确认或重新出具已获取信息</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restart"/>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（六）其他处理</w:t>
            </w:r>
          </w:p>
        </w:tc>
        <w:tc>
          <w:tcPr>
            <w:tcW w:w="2581" w:type="dxa"/>
            <w:noWrap w:val="0"/>
            <w:vAlign w:val="center"/>
          </w:tcPr>
          <w:p>
            <w:pPr>
              <w:widowControl/>
              <w:spacing w:line="260" w:lineRule="exact"/>
              <w:rPr>
                <w:rFonts w:ascii="方正仿宋简体" w:hAnsi="楷体" w:eastAsia="方正仿宋简体"/>
                <w:b/>
                <w:sz w:val="21"/>
                <w:szCs w:val="21"/>
              </w:rPr>
            </w:pPr>
            <w:r>
              <w:rPr>
                <w:rFonts w:hint="eastAsia" w:ascii="方正仿宋简体" w:hAnsi="楷体" w:eastAsia="方正仿宋简体"/>
                <w:b/>
                <w:sz w:val="21"/>
                <w:szCs w:val="21"/>
              </w:rPr>
              <w:t>1.申请人无正当理由逾期不补正、行政机关不再处理其政府信息公开申请</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widowControl/>
              <w:spacing w:line="260" w:lineRule="exact"/>
              <w:rPr>
                <w:rFonts w:ascii="方正仿宋简体" w:hAnsi="黑体" w:eastAsia="方正仿宋简体"/>
                <w:b/>
                <w:sz w:val="21"/>
                <w:szCs w:val="21"/>
              </w:rPr>
            </w:pPr>
          </w:p>
        </w:tc>
        <w:tc>
          <w:tcPr>
            <w:tcW w:w="2581" w:type="dxa"/>
            <w:noWrap w:val="0"/>
            <w:vAlign w:val="center"/>
          </w:tcPr>
          <w:p>
            <w:pPr>
              <w:widowControl/>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1162" w:type="dxa"/>
            <w:vMerge w:val="continue"/>
            <w:noWrap w:val="0"/>
            <w:tcMar>
              <w:left w:w="108" w:type="dxa"/>
              <w:right w:w="108" w:type="dxa"/>
            </w:tcMar>
            <w:vAlign w:val="center"/>
          </w:tcPr>
          <w:p>
            <w:pPr>
              <w:widowControl/>
              <w:spacing w:line="260" w:lineRule="exact"/>
              <w:rPr>
                <w:rFonts w:ascii="方正仿宋简体" w:hAnsi="黑体" w:eastAsia="方正仿宋简体"/>
                <w:b/>
                <w:sz w:val="21"/>
                <w:szCs w:val="21"/>
              </w:rPr>
            </w:pPr>
          </w:p>
        </w:tc>
        <w:tc>
          <w:tcPr>
            <w:tcW w:w="2581" w:type="dxa"/>
            <w:noWrap w:val="0"/>
            <w:vAlign w:val="center"/>
          </w:tcPr>
          <w:p>
            <w:pPr>
              <w:widowControl/>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3.其他</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sz w:val="21"/>
                <w:szCs w:val="21"/>
              </w:rPr>
            </w:pPr>
          </w:p>
        </w:tc>
        <w:tc>
          <w:tcPr>
            <w:tcW w:w="3743" w:type="dxa"/>
            <w:gridSpan w:val="2"/>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（七）总计</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noWrap w:val="0"/>
            <w:tcMar>
              <w:left w:w="108" w:type="dxa"/>
              <w:right w:w="108" w:type="dxa"/>
            </w:tcMar>
            <w:vAlign w:val="center"/>
          </w:tcPr>
          <w:p>
            <w:pPr>
              <w:widowControl/>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四、结转下年度继续办理</w:t>
            </w:r>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eastAsia="方正仿宋简体"/>
                <w:b/>
                <w:sz w:val="21"/>
                <w:szCs w:val="21"/>
                <w:lang w:val="en-US" w:eastAsia="zh-CN"/>
              </w:rPr>
              <w:t>0</w:t>
            </w:r>
          </w:p>
        </w:tc>
      </w:tr>
    </w:tbl>
    <w:p>
      <w:pPr>
        <w:widowControl/>
        <w:shd w:val="clear" w:color="auto" w:fill="FFFFFF"/>
        <w:spacing w:line="480" w:lineRule="atLeast"/>
        <w:ind w:firstLine="420"/>
        <w:rPr>
          <w:rFonts w:ascii="Arial" w:hAnsi="Arial" w:eastAsia="宋体" w:cs="Arial"/>
          <w:color w:val="000000"/>
          <w:kern w:val="0"/>
          <w:sz w:val="24"/>
          <w:szCs w:val="24"/>
        </w:rPr>
      </w:pPr>
      <w:r>
        <w:rPr>
          <w:rFonts w:hint="eastAsia" w:ascii="宋体" w:hAnsi="宋体" w:eastAsia="宋体" w:cs="Arial"/>
          <w:b/>
          <w:bCs/>
          <w:color w:val="000000"/>
          <w:kern w:val="0"/>
          <w:sz w:val="24"/>
          <w:szCs w:val="24"/>
        </w:rPr>
        <w:t> </w:t>
      </w:r>
    </w:p>
    <w:p>
      <w:pPr>
        <w:widowControl/>
        <w:shd w:val="clear" w:color="auto" w:fill="FFFFFF"/>
        <w:spacing w:line="480" w:lineRule="atLeast"/>
        <w:ind w:firstLine="420"/>
        <w:rPr>
          <w:rFonts w:ascii="Arial" w:hAnsi="Arial" w:eastAsia="宋体" w:cs="Arial"/>
          <w:color w:val="000000"/>
          <w:kern w:val="0"/>
          <w:sz w:val="24"/>
          <w:szCs w:val="24"/>
        </w:rPr>
      </w:pPr>
      <w:r>
        <w:rPr>
          <w:rFonts w:hint="eastAsia" w:ascii="仿宋_GB2312" w:hAnsi="宋体" w:eastAsia="仿宋_GB2312" w:cs="Arial"/>
          <w:b/>
          <w:bCs/>
          <w:color w:val="000000"/>
          <w:kern w:val="0"/>
          <w:sz w:val="28"/>
          <w:szCs w:val="28"/>
          <w:shd w:val="clear" w:color="auto" w:fill="FFFFFF"/>
        </w:rPr>
        <w:t>四、政府信息公开行政复议、行政诉讼情况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行政复议</w:t>
            </w:r>
          </w:p>
        </w:tc>
        <w:tc>
          <w:tcPr>
            <w:tcW w:w="5922" w:type="dxa"/>
            <w:gridSpan w:val="10"/>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noWrap w:val="0"/>
            <w:tcMar>
              <w:left w:w="108" w:type="dxa"/>
              <w:right w:w="108" w:type="dxa"/>
            </w:tcMar>
            <w:vAlign w:val="center"/>
          </w:tcPr>
          <w:p>
            <w:pPr>
              <w:widowControl/>
              <w:spacing w:line="320" w:lineRule="exact"/>
              <w:ind w:left="-149" w:leftChars="-71" w:right="-170" w:rightChars="-81"/>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pacing w:line="320" w:lineRule="exact"/>
              <w:ind w:left="-149" w:leftChars="-71" w:right="-170" w:rightChars="-81"/>
              <w:jc w:val="center"/>
              <w:rPr>
                <w:rFonts w:ascii="方正黑体简体" w:hAnsi="黑体" w:eastAsia="方正黑体简体"/>
                <w:b/>
                <w:sz w:val="24"/>
                <w:szCs w:val="24"/>
              </w:rPr>
            </w:pPr>
            <w:r>
              <w:rPr>
                <w:rFonts w:hint="eastAsia" w:ascii="方正黑体简体" w:hAnsi="黑体" w:eastAsia="方正黑体简体"/>
                <w:b/>
                <w:sz w:val="24"/>
                <w:szCs w:val="24"/>
              </w:rPr>
              <w:t>维持</w:t>
            </w:r>
          </w:p>
        </w:tc>
        <w:tc>
          <w:tcPr>
            <w:tcW w:w="604" w:type="dxa"/>
            <w:vMerge w:val="restart"/>
            <w:noWrap w:val="0"/>
            <w:tcMar>
              <w:left w:w="108" w:type="dxa"/>
              <w:right w:w="108" w:type="dxa"/>
            </w:tcMar>
            <w:vAlign w:val="center"/>
          </w:tcPr>
          <w:p>
            <w:pPr>
              <w:widowControl/>
              <w:spacing w:line="320" w:lineRule="exact"/>
              <w:ind w:left="-43" w:leftChars="-21" w:right="-132" w:rightChars="-63" w:hanging="1"/>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4" w:type="dxa"/>
            <w:vMerge w:val="restart"/>
            <w:noWrap w:val="0"/>
            <w:tcMar>
              <w:left w:w="108" w:type="dxa"/>
              <w:right w:w="108" w:type="dxa"/>
            </w:tcMar>
            <w:vAlign w:val="center"/>
          </w:tcPr>
          <w:p>
            <w:pPr>
              <w:widowControl/>
              <w:spacing w:line="320" w:lineRule="exact"/>
              <w:ind w:left="-82" w:leftChars="-39" w:right="-97" w:rightChars="-46"/>
              <w:jc w:val="center"/>
              <w:rPr>
                <w:rFonts w:ascii="方正黑体简体" w:hAnsi="黑体" w:eastAsia="方正黑体简体"/>
                <w:b/>
                <w:sz w:val="24"/>
                <w:szCs w:val="24"/>
              </w:rPr>
            </w:pPr>
            <w:r>
              <w:rPr>
                <w:rFonts w:hint="eastAsia" w:ascii="方正黑体简体" w:hAnsi="黑体" w:eastAsia="方正黑体简体"/>
                <w:b/>
                <w:sz w:val="24"/>
                <w:szCs w:val="24"/>
              </w:rPr>
              <w:t>其他结果</w:t>
            </w:r>
          </w:p>
        </w:tc>
        <w:tc>
          <w:tcPr>
            <w:tcW w:w="604" w:type="dxa"/>
            <w:vMerge w:val="restart"/>
            <w:noWrap w:val="0"/>
            <w:tcMar>
              <w:left w:w="108" w:type="dxa"/>
              <w:right w:w="108" w:type="dxa"/>
            </w:tcMar>
            <w:vAlign w:val="center"/>
          </w:tcPr>
          <w:p>
            <w:pPr>
              <w:widowControl/>
              <w:spacing w:line="320" w:lineRule="exact"/>
              <w:ind w:left="-118" w:leftChars="-56" w:right="-118" w:rightChars="-56"/>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pacing w:line="320" w:lineRule="exact"/>
              <w:ind w:left="-118" w:leftChars="-56" w:right="-118" w:rightChars="-56"/>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479" w:type="dxa"/>
            <w:vMerge w:val="restart"/>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w:t>
            </w:r>
          </w:p>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计</w:t>
            </w:r>
          </w:p>
        </w:tc>
        <w:tc>
          <w:tcPr>
            <w:tcW w:w="2943" w:type="dxa"/>
            <w:gridSpan w:val="5"/>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未经复议直接起诉</w:t>
            </w:r>
          </w:p>
        </w:tc>
        <w:tc>
          <w:tcPr>
            <w:tcW w:w="2979" w:type="dxa"/>
            <w:gridSpan w:val="5"/>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bookmarkStart w:id="9" w:name="_Hlk67039688"/>
            <w:r>
              <w:rPr>
                <w:rFonts w:hint="eastAsia" w:ascii="方正黑体简体" w:hAnsi="黑体" w:eastAsia="方正黑体简体"/>
                <w:b/>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noWrap w:val="0"/>
            <w:tcMar>
              <w:left w:w="108" w:type="dxa"/>
              <w:right w:w="108" w:type="dxa"/>
            </w:tcMar>
            <w:vAlign w:val="center"/>
          </w:tcPr>
          <w:p>
            <w:pPr>
              <w:spacing w:line="320" w:lineRule="exact"/>
              <w:rPr>
                <w:rFonts w:ascii="方正黑体简体" w:hAnsi="黑体" w:eastAsia="方正黑体简体"/>
                <w:b/>
                <w:sz w:val="24"/>
                <w:szCs w:val="24"/>
              </w:rPr>
            </w:pPr>
          </w:p>
        </w:tc>
        <w:tc>
          <w:tcPr>
            <w:tcW w:w="604" w:type="dxa"/>
            <w:vMerge w:val="continue"/>
            <w:noWrap w:val="0"/>
            <w:tcMar>
              <w:left w:w="108" w:type="dxa"/>
              <w:right w:w="108" w:type="dxa"/>
            </w:tcMar>
            <w:vAlign w:val="center"/>
          </w:tcPr>
          <w:p>
            <w:pPr>
              <w:spacing w:line="320" w:lineRule="exact"/>
              <w:rPr>
                <w:rFonts w:ascii="方正黑体简体" w:hAnsi="黑体" w:eastAsia="方正黑体简体"/>
                <w:b/>
                <w:sz w:val="24"/>
                <w:szCs w:val="24"/>
              </w:rPr>
            </w:pPr>
          </w:p>
        </w:tc>
        <w:tc>
          <w:tcPr>
            <w:tcW w:w="604" w:type="dxa"/>
            <w:vMerge w:val="continue"/>
            <w:noWrap w:val="0"/>
            <w:tcMar>
              <w:left w:w="108" w:type="dxa"/>
              <w:right w:w="108" w:type="dxa"/>
            </w:tcMar>
            <w:vAlign w:val="center"/>
          </w:tcPr>
          <w:p>
            <w:pPr>
              <w:spacing w:line="320" w:lineRule="exact"/>
              <w:rPr>
                <w:rFonts w:ascii="方正黑体简体" w:hAnsi="黑体" w:eastAsia="方正黑体简体"/>
                <w:b/>
                <w:sz w:val="24"/>
                <w:szCs w:val="24"/>
              </w:rPr>
            </w:pPr>
          </w:p>
        </w:tc>
        <w:tc>
          <w:tcPr>
            <w:tcW w:w="604" w:type="dxa"/>
            <w:vMerge w:val="continue"/>
            <w:noWrap w:val="0"/>
            <w:tcMar>
              <w:left w:w="108" w:type="dxa"/>
              <w:right w:w="108" w:type="dxa"/>
            </w:tcMar>
            <w:vAlign w:val="center"/>
          </w:tcPr>
          <w:p>
            <w:pPr>
              <w:spacing w:line="320" w:lineRule="exact"/>
              <w:rPr>
                <w:rFonts w:ascii="方正黑体简体" w:hAnsi="黑体" w:eastAsia="方正黑体简体"/>
                <w:b/>
                <w:sz w:val="24"/>
                <w:szCs w:val="24"/>
              </w:rPr>
            </w:pPr>
          </w:p>
        </w:tc>
        <w:tc>
          <w:tcPr>
            <w:tcW w:w="479" w:type="dxa"/>
            <w:vMerge w:val="continue"/>
            <w:noWrap w:val="0"/>
            <w:tcMar>
              <w:left w:w="108" w:type="dxa"/>
              <w:right w:w="108" w:type="dxa"/>
            </w:tcMar>
            <w:vAlign w:val="center"/>
          </w:tcPr>
          <w:p>
            <w:pPr>
              <w:spacing w:line="320" w:lineRule="exact"/>
              <w:rPr>
                <w:rFonts w:ascii="方正黑体简体" w:hAnsi="黑体" w:eastAsia="方正黑体简体"/>
                <w:b/>
                <w:sz w:val="24"/>
                <w:szCs w:val="24"/>
              </w:rPr>
            </w:pPr>
          </w:p>
        </w:tc>
        <w:tc>
          <w:tcPr>
            <w:tcW w:w="550" w:type="dxa"/>
            <w:noWrap w:val="0"/>
            <w:tcMar>
              <w:left w:w="108" w:type="dxa"/>
              <w:right w:w="108" w:type="dxa"/>
            </w:tcMar>
            <w:vAlign w:val="center"/>
          </w:tcPr>
          <w:p>
            <w:pPr>
              <w:widowControl/>
              <w:spacing w:line="320" w:lineRule="exact"/>
              <w:ind w:left="-105" w:leftChars="-50" w:right="-126" w:rightChars="-60"/>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noWrap w:val="0"/>
            <w:tcMar>
              <w:left w:w="108" w:type="dxa"/>
              <w:right w:w="108" w:type="dxa"/>
            </w:tcMar>
            <w:vAlign w:val="center"/>
          </w:tcPr>
          <w:p>
            <w:pPr>
              <w:widowControl/>
              <w:spacing w:line="320" w:lineRule="exact"/>
              <w:ind w:left="-86" w:leftChars="-41" w:right="-88" w:rightChars="-42"/>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5" w:type="dxa"/>
            <w:noWrap w:val="0"/>
            <w:tcMar>
              <w:left w:w="108" w:type="dxa"/>
              <w:right w:w="108" w:type="dxa"/>
            </w:tcMar>
            <w:vAlign w:val="center"/>
          </w:tcPr>
          <w:p>
            <w:pPr>
              <w:widowControl/>
              <w:spacing w:line="320" w:lineRule="exact"/>
              <w:ind w:left="-126" w:leftChars="-60" w:right="-136" w:rightChars="-65"/>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pacing w:line="320" w:lineRule="exact"/>
              <w:ind w:left="-126" w:leftChars="-60" w:right="-136" w:rightChars="-65"/>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5" w:type="dxa"/>
            <w:noWrap w:val="0"/>
            <w:tcMar>
              <w:left w:w="108" w:type="dxa"/>
              <w:right w:w="108" w:type="dxa"/>
            </w:tcMar>
            <w:vAlign w:val="center"/>
          </w:tcPr>
          <w:p>
            <w:pPr>
              <w:widowControl/>
              <w:spacing w:line="320" w:lineRule="exact"/>
              <w:ind w:left="-164" w:leftChars="-78" w:right="-153" w:rightChars="-73"/>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pacing w:line="320" w:lineRule="exact"/>
              <w:ind w:left="-164" w:leftChars="-78" w:right="-153" w:rightChars="-73"/>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578" w:type="dxa"/>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c>
          <w:tcPr>
            <w:tcW w:w="605" w:type="dxa"/>
            <w:noWrap w:val="0"/>
            <w:tcMar>
              <w:left w:w="108" w:type="dxa"/>
              <w:right w:w="108" w:type="dxa"/>
            </w:tcMar>
            <w:vAlign w:val="center"/>
          </w:tcPr>
          <w:p>
            <w:pPr>
              <w:widowControl/>
              <w:spacing w:line="320" w:lineRule="exact"/>
              <w:ind w:left="-99" w:leftChars="-47" w:right="-78" w:rightChars="-37"/>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noWrap w:val="0"/>
            <w:tcMar>
              <w:left w:w="108" w:type="dxa"/>
              <w:right w:w="108" w:type="dxa"/>
            </w:tcMar>
            <w:vAlign w:val="center"/>
          </w:tcPr>
          <w:p>
            <w:pPr>
              <w:widowControl/>
              <w:spacing w:line="320" w:lineRule="exact"/>
              <w:ind w:left="-136" w:leftChars="-65" w:right="-124" w:rightChars="-59"/>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pacing w:line="320" w:lineRule="exact"/>
              <w:ind w:left="-136" w:leftChars="-65" w:right="-124" w:rightChars="-59"/>
              <w:jc w:val="center"/>
              <w:rPr>
                <w:rFonts w:ascii="方正黑体简体" w:hAnsi="黑体" w:eastAsia="方正黑体简体"/>
                <w:b/>
                <w:sz w:val="24"/>
                <w:szCs w:val="24"/>
              </w:rPr>
            </w:pPr>
            <w:r>
              <w:rPr>
                <w:rFonts w:hint="eastAsia" w:ascii="方正黑体简体" w:hAnsi="黑体" w:eastAsia="方正黑体简体"/>
                <w:b/>
                <w:sz w:val="24"/>
                <w:szCs w:val="24"/>
              </w:rPr>
              <w:t>纠正</w:t>
            </w:r>
          </w:p>
        </w:tc>
        <w:tc>
          <w:tcPr>
            <w:tcW w:w="605" w:type="dxa"/>
            <w:noWrap w:val="0"/>
            <w:tcMar>
              <w:left w:w="108" w:type="dxa"/>
              <w:right w:w="108" w:type="dxa"/>
            </w:tcMar>
            <w:vAlign w:val="center"/>
          </w:tcPr>
          <w:p>
            <w:pPr>
              <w:widowControl/>
              <w:spacing w:line="320" w:lineRule="exact"/>
              <w:ind w:left="-173" w:leftChars="-83" w:right="-134"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pacing w:line="320" w:lineRule="exact"/>
              <w:ind w:left="-173" w:leftChars="-83" w:right="-134"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6" w:type="dxa"/>
            <w:noWrap w:val="0"/>
            <w:tcMar>
              <w:left w:w="108" w:type="dxa"/>
              <w:right w:w="108" w:type="dxa"/>
            </w:tcMar>
            <w:vAlign w:val="center"/>
          </w:tcPr>
          <w:p>
            <w:pPr>
              <w:widowControl/>
              <w:spacing w:line="320" w:lineRule="exact"/>
              <w:ind w:left="-67" w:leftChars="-33" w:right="-105" w:rightChars="-50" w:hanging="2" w:hangingChars="1"/>
              <w:jc w:val="center"/>
              <w:rPr>
                <w:rFonts w:ascii="方正黑体简体" w:hAnsi="黑体" w:eastAsia="方正黑体简体"/>
                <w:b/>
                <w:sz w:val="24"/>
                <w:szCs w:val="24"/>
              </w:rPr>
            </w:pPr>
            <w:r>
              <w:rPr>
                <w:rFonts w:hint="eastAsia" w:ascii="方正黑体简体" w:hAnsi="黑体" w:eastAsia="方正黑体简体"/>
                <w:b/>
                <w:sz w:val="24"/>
                <w:szCs w:val="24"/>
              </w:rPr>
              <w:t>尚未审结</w:t>
            </w:r>
          </w:p>
        </w:tc>
        <w:tc>
          <w:tcPr>
            <w:tcW w:w="558" w:type="dxa"/>
            <w:noWrap w:val="0"/>
            <w:tcMar>
              <w:left w:w="108" w:type="dxa"/>
              <w:right w:w="108" w:type="dxa"/>
            </w:tcMar>
            <w:vAlign w:val="center"/>
          </w:tcPr>
          <w:p>
            <w:pPr>
              <w:widowControl/>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479"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0"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78"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6"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8" w:type="dxa"/>
            <w:noWrap w:val="0"/>
            <w:tcMar>
              <w:left w:w="108" w:type="dxa"/>
              <w:right w:w="108" w:type="dxa"/>
            </w:tcMar>
            <w:vAlign w:val="center"/>
          </w:tcPr>
          <w:p>
            <w:pPr>
              <w:widowControl/>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r>
    </w:tbl>
    <w:p>
      <w:pPr>
        <w:widowControl/>
        <w:shd w:val="clear" w:color="auto" w:fill="FFFFFF"/>
        <w:spacing w:line="480" w:lineRule="atLeast"/>
        <w:rPr>
          <w:rFonts w:ascii="Arial" w:hAnsi="Arial" w:eastAsia="宋体" w:cs="Arial"/>
          <w:color w:val="000000"/>
          <w:kern w:val="0"/>
          <w:szCs w:val="21"/>
        </w:rPr>
      </w:pPr>
    </w:p>
    <w:p>
      <w:pPr>
        <w:widowControl/>
        <w:shd w:val="clear" w:color="auto" w:fill="FFFFFF"/>
        <w:spacing w:line="600" w:lineRule="atLeast"/>
        <w:ind w:firstLine="420"/>
        <w:rPr>
          <w:rFonts w:ascii="仿宋_GB2312" w:hAnsi="Arial" w:eastAsia="仿宋_GB2312" w:cs="Arial"/>
          <w:color w:val="000000"/>
          <w:kern w:val="0"/>
          <w:sz w:val="28"/>
          <w:szCs w:val="28"/>
        </w:rPr>
      </w:pPr>
      <w:r>
        <w:rPr>
          <w:rFonts w:hint="eastAsia" w:ascii="仿宋_GB2312" w:hAnsi="宋体" w:eastAsia="仿宋_GB2312" w:cs="Arial"/>
          <w:b/>
          <w:bCs/>
          <w:color w:val="000000"/>
          <w:kern w:val="0"/>
          <w:sz w:val="28"/>
          <w:szCs w:val="28"/>
          <w:shd w:val="clear" w:color="auto" w:fill="FFFFFF"/>
        </w:rPr>
        <w:t>五、存在的主要问题及改进情况</w:t>
      </w:r>
    </w:p>
    <w:p>
      <w:pPr>
        <w:widowControl/>
        <w:spacing w:line="450" w:lineRule="atLeast"/>
        <w:ind w:firstLine="480"/>
        <w:jc w:val="left"/>
        <w:rPr>
          <w:rFonts w:hint="eastAsia" w:ascii="仿宋_GB2312" w:hAnsi="微软雅黑" w:eastAsia="仿宋_GB2312" w:cs="宋体"/>
          <w:color w:val="333333"/>
          <w:kern w:val="0"/>
          <w:sz w:val="28"/>
          <w:szCs w:val="24"/>
        </w:rPr>
      </w:pPr>
      <w:r>
        <w:rPr>
          <w:rFonts w:hint="eastAsia" w:ascii="仿宋_GB2312" w:hAnsi="微软雅黑" w:eastAsia="仿宋_GB2312" w:cs="宋体"/>
          <w:color w:val="333333"/>
          <w:kern w:val="0"/>
          <w:sz w:val="28"/>
          <w:szCs w:val="24"/>
        </w:rPr>
        <w:t>202</w:t>
      </w:r>
      <w:r>
        <w:rPr>
          <w:rFonts w:hint="eastAsia" w:ascii="仿宋_GB2312" w:hAnsi="微软雅黑" w:eastAsia="仿宋_GB2312" w:cs="宋体"/>
          <w:color w:val="333333"/>
          <w:kern w:val="0"/>
          <w:sz w:val="28"/>
          <w:szCs w:val="24"/>
          <w:lang w:val="en-US" w:eastAsia="zh-CN"/>
        </w:rPr>
        <w:t>2</w:t>
      </w:r>
      <w:r>
        <w:rPr>
          <w:rFonts w:hint="eastAsia" w:ascii="仿宋_GB2312" w:hAnsi="微软雅黑" w:eastAsia="仿宋_GB2312" w:cs="宋体"/>
          <w:color w:val="333333"/>
          <w:kern w:val="0"/>
          <w:sz w:val="28"/>
          <w:szCs w:val="24"/>
        </w:rPr>
        <w:t>年我局在政府信息公开工作中取得了一定成效，但信息化整体水平不高，信息的时效性和质量还有待提高的问题。2023年，在下步工作中，信访局将加大对政府信息和政务公开工作的重视，加大对工作信息的审查，坚决做到“能公开必公开”。我们将深入贯彻落实习近平新时代中国特色社会主义思想和</w:t>
      </w:r>
      <w:r>
        <w:rPr>
          <w:rFonts w:hint="eastAsia" w:ascii="仿宋_GB2312" w:hAnsi="微软雅黑" w:eastAsia="仿宋_GB2312" w:cs="宋体"/>
          <w:color w:val="333333"/>
          <w:kern w:val="0"/>
          <w:sz w:val="28"/>
          <w:szCs w:val="24"/>
          <w:lang w:eastAsia="zh-CN"/>
        </w:rPr>
        <w:t>县</w:t>
      </w:r>
      <w:r>
        <w:rPr>
          <w:rFonts w:hint="eastAsia" w:ascii="仿宋_GB2312" w:hAnsi="微软雅黑" w:eastAsia="仿宋_GB2312" w:cs="宋体"/>
          <w:color w:val="333333"/>
          <w:kern w:val="0"/>
          <w:sz w:val="28"/>
          <w:szCs w:val="24"/>
        </w:rPr>
        <w:t>委、</w:t>
      </w:r>
      <w:r>
        <w:rPr>
          <w:rFonts w:hint="eastAsia" w:ascii="仿宋_GB2312" w:hAnsi="微软雅黑" w:eastAsia="仿宋_GB2312" w:cs="宋体"/>
          <w:color w:val="333333"/>
          <w:kern w:val="0"/>
          <w:sz w:val="28"/>
          <w:szCs w:val="24"/>
          <w:lang w:eastAsia="zh-CN"/>
        </w:rPr>
        <w:t>县</w:t>
      </w:r>
      <w:r>
        <w:rPr>
          <w:rFonts w:hint="eastAsia" w:ascii="仿宋_GB2312" w:hAnsi="微软雅黑" w:eastAsia="仿宋_GB2312" w:cs="宋体"/>
          <w:color w:val="333333"/>
          <w:kern w:val="0"/>
          <w:sz w:val="28"/>
          <w:szCs w:val="24"/>
        </w:rPr>
        <w:t>政府信息公开工作相关文件精神，进一步增强主动意识、学习经验、创新管理，加强对信息公开工作的安排部署。一是继续加强领导，规范工作制度，将政府信息公开工作落实到常态化工作中；二是以信访职能职责为抓手，拓展信息公开形式，加强信访信息宣传力度；三是加强信息宣传队伍建设，强化信息公开工作保障。 </w:t>
      </w:r>
    </w:p>
    <w:p>
      <w:pPr>
        <w:widowControl/>
        <w:shd w:val="clear" w:color="auto" w:fill="FFFFFF"/>
        <w:spacing w:line="600" w:lineRule="atLeast"/>
        <w:ind w:firstLine="420"/>
        <w:rPr>
          <w:rFonts w:ascii="仿宋_GB2312" w:hAnsi="Arial" w:eastAsia="仿宋_GB2312" w:cs="Arial"/>
          <w:color w:val="000000"/>
          <w:kern w:val="0"/>
          <w:sz w:val="28"/>
          <w:szCs w:val="24"/>
        </w:rPr>
      </w:pPr>
      <w:r>
        <w:rPr>
          <w:rFonts w:hint="eastAsia" w:ascii="仿宋_GB2312" w:hAnsi="宋体" w:eastAsia="仿宋_GB2312" w:cs="Arial"/>
          <w:b/>
          <w:bCs/>
          <w:color w:val="000000"/>
          <w:kern w:val="0"/>
          <w:sz w:val="28"/>
          <w:szCs w:val="24"/>
          <w:shd w:val="clear" w:color="auto" w:fill="FFFFFF"/>
        </w:rPr>
        <w:t>六、其他需要报告的事项</w:t>
      </w:r>
    </w:p>
    <w:p>
      <w:pPr>
        <w:widowControl/>
        <w:spacing w:line="450" w:lineRule="atLeast"/>
        <w:ind w:firstLine="480"/>
        <w:jc w:val="left"/>
        <w:rPr>
          <w:rFonts w:ascii="仿宋_GB2312" w:hAnsi="微软雅黑" w:eastAsia="仿宋_GB2312" w:cs="宋体"/>
          <w:color w:val="333333"/>
          <w:kern w:val="0"/>
          <w:sz w:val="28"/>
          <w:szCs w:val="24"/>
        </w:rPr>
      </w:pPr>
      <w:r>
        <w:rPr>
          <w:rFonts w:hint="eastAsia" w:ascii="仿宋_GB2312" w:hAnsi="微软雅黑" w:eastAsia="仿宋_GB2312" w:cs="宋体"/>
          <w:color w:val="333333"/>
          <w:kern w:val="0"/>
          <w:sz w:val="28"/>
          <w:szCs w:val="24"/>
        </w:rPr>
        <w:t>（一）依据《政府信息公开信息处理费管理办法》收取信息处理费的情况；</w:t>
      </w:r>
    </w:p>
    <w:p>
      <w:pPr>
        <w:widowControl/>
        <w:spacing w:line="450" w:lineRule="atLeast"/>
        <w:ind w:firstLine="480"/>
        <w:jc w:val="left"/>
        <w:rPr>
          <w:rFonts w:ascii="仿宋_GB2312" w:hAnsi="微软雅黑" w:eastAsia="仿宋_GB2312" w:cs="宋体"/>
          <w:color w:val="333333"/>
          <w:kern w:val="0"/>
          <w:sz w:val="28"/>
          <w:szCs w:val="24"/>
        </w:rPr>
      </w:pPr>
      <w:r>
        <w:rPr>
          <w:rFonts w:hint="eastAsia" w:ascii="仿宋_GB2312" w:hAnsi="微软雅黑" w:eastAsia="仿宋_GB2312" w:cs="宋体"/>
          <w:color w:val="333333"/>
          <w:kern w:val="0"/>
          <w:sz w:val="28"/>
          <w:szCs w:val="24"/>
        </w:rPr>
        <w:t>202</w:t>
      </w:r>
      <w:r>
        <w:rPr>
          <w:rFonts w:hint="eastAsia" w:ascii="仿宋_GB2312" w:hAnsi="微软雅黑" w:eastAsia="仿宋_GB2312" w:cs="宋体"/>
          <w:color w:val="333333"/>
          <w:kern w:val="0"/>
          <w:sz w:val="28"/>
          <w:szCs w:val="24"/>
          <w:lang w:val="en-US" w:eastAsia="zh-CN"/>
        </w:rPr>
        <w:t>2</w:t>
      </w:r>
      <w:r>
        <w:rPr>
          <w:rFonts w:hint="eastAsia" w:ascii="仿宋_GB2312" w:hAnsi="微软雅黑" w:eastAsia="仿宋_GB2312" w:cs="宋体"/>
          <w:color w:val="333333"/>
          <w:kern w:val="0"/>
          <w:sz w:val="28"/>
          <w:szCs w:val="24"/>
        </w:rPr>
        <w:t>年，汶上县信访局依据《政府信息公开信息处理费管理办法》，没有收取任何信息处理费用。</w:t>
      </w:r>
    </w:p>
    <w:p>
      <w:pPr>
        <w:widowControl/>
        <w:spacing w:line="450" w:lineRule="atLeast"/>
        <w:ind w:firstLine="480"/>
        <w:jc w:val="left"/>
        <w:rPr>
          <w:rFonts w:ascii="仿宋_GB2312" w:hAnsi="微软雅黑" w:eastAsia="仿宋_GB2312" w:cs="宋体"/>
          <w:color w:val="333333"/>
          <w:kern w:val="0"/>
          <w:sz w:val="28"/>
          <w:szCs w:val="24"/>
        </w:rPr>
      </w:pPr>
      <w:r>
        <w:rPr>
          <w:rFonts w:hint="eastAsia" w:ascii="仿宋_GB2312" w:hAnsi="微软雅黑" w:eastAsia="仿宋_GB2312" w:cs="宋体"/>
          <w:color w:val="333333"/>
          <w:kern w:val="0"/>
          <w:sz w:val="28"/>
          <w:szCs w:val="24"/>
        </w:rPr>
        <w:t>（二）</w:t>
      </w:r>
      <w:r>
        <w:rPr>
          <w:rFonts w:hint="eastAsia" w:ascii="仿宋_GB2312" w:hAnsi="微软雅黑" w:eastAsia="仿宋_GB2312" w:cs="宋体"/>
          <w:color w:val="333333"/>
          <w:kern w:val="0"/>
          <w:sz w:val="28"/>
          <w:szCs w:val="24"/>
          <w:lang w:eastAsia="zh-CN"/>
        </w:rPr>
        <w:t>本行政机关</w:t>
      </w:r>
      <w:r>
        <w:rPr>
          <w:rFonts w:hint="eastAsia" w:ascii="仿宋_GB2312" w:hAnsi="微软雅黑" w:eastAsia="仿宋_GB2312" w:cs="宋体"/>
          <w:color w:val="333333"/>
          <w:kern w:val="0"/>
          <w:sz w:val="28"/>
          <w:szCs w:val="24"/>
        </w:rPr>
        <w:t>落实上级年度政务公开工作要点情况；</w:t>
      </w:r>
    </w:p>
    <w:p>
      <w:pPr>
        <w:widowControl/>
        <w:spacing w:line="450" w:lineRule="atLeast"/>
        <w:ind w:firstLine="480"/>
        <w:jc w:val="left"/>
        <w:rPr>
          <w:rFonts w:hint="eastAsia" w:ascii="仿宋_GB2312" w:hAnsi="微软雅黑" w:eastAsia="仿宋_GB2312" w:cs="宋体"/>
          <w:color w:val="333333"/>
          <w:kern w:val="0"/>
          <w:sz w:val="28"/>
          <w:szCs w:val="24"/>
        </w:rPr>
      </w:pPr>
      <w:r>
        <w:rPr>
          <w:rFonts w:hint="eastAsia" w:ascii="仿宋_GB2312" w:hAnsi="微软雅黑" w:eastAsia="仿宋_GB2312" w:cs="宋体"/>
          <w:color w:val="333333"/>
          <w:kern w:val="0"/>
          <w:sz w:val="28"/>
          <w:szCs w:val="24"/>
        </w:rPr>
        <w:t>202</w:t>
      </w:r>
      <w:r>
        <w:rPr>
          <w:rFonts w:hint="eastAsia" w:ascii="仿宋_GB2312" w:hAnsi="微软雅黑" w:eastAsia="仿宋_GB2312" w:cs="宋体"/>
          <w:color w:val="333333"/>
          <w:kern w:val="0"/>
          <w:sz w:val="28"/>
          <w:szCs w:val="24"/>
          <w:lang w:val="en-US" w:eastAsia="zh-CN"/>
        </w:rPr>
        <w:t>2</w:t>
      </w:r>
      <w:r>
        <w:rPr>
          <w:rFonts w:hint="eastAsia" w:ascii="仿宋_GB2312" w:hAnsi="微软雅黑" w:eastAsia="仿宋_GB2312" w:cs="宋体"/>
          <w:color w:val="333333"/>
          <w:kern w:val="0"/>
          <w:sz w:val="28"/>
          <w:szCs w:val="24"/>
        </w:rPr>
        <w:t>年，汶上县信访局严格按照县政府办公室《关于印发</w:t>
      </w:r>
      <w:r>
        <w:rPr>
          <w:rFonts w:ascii="仿宋_GB2312" w:hAnsi="微软雅黑" w:eastAsia="仿宋_GB2312" w:cs="宋体"/>
          <w:color w:val="333333"/>
          <w:kern w:val="0"/>
          <w:sz w:val="28"/>
          <w:szCs w:val="24"/>
        </w:rPr>
        <w:t>202</w:t>
      </w:r>
      <w:r>
        <w:rPr>
          <w:rFonts w:hint="eastAsia" w:ascii="仿宋_GB2312" w:hAnsi="微软雅黑" w:eastAsia="仿宋_GB2312" w:cs="宋体"/>
          <w:color w:val="333333"/>
          <w:kern w:val="0"/>
          <w:sz w:val="28"/>
          <w:szCs w:val="24"/>
          <w:lang w:val="en-US" w:eastAsia="zh-CN"/>
        </w:rPr>
        <w:t>2</w:t>
      </w:r>
      <w:r>
        <w:rPr>
          <w:rFonts w:hint="eastAsia" w:ascii="仿宋_GB2312" w:hAnsi="微软雅黑" w:eastAsia="仿宋_GB2312" w:cs="宋体"/>
          <w:color w:val="333333"/>
          <w:kern w:val="0"/>
          <w:sz w:val="28"/>
          <w:szCs w:val="24"/>
        </w:rPr>
        <w:t>年政务公开工作任务分解表的通知》要求，认真对照部门承担的政务公开重点任务，进一步细化分解，将任务分解到科室，落实到人，确保应公开尽公开，不断提升政务公开能力水平。</w:t>
      </w:r>
    </w:p>
    <w:p>
      <w:pPr>
        <w:spacing w:line="590" w:lineRule="exact"/>
        <w:ind w:right="-105" w:rightChars="-50" w:firstLine="560" w:firstLineChars="200"/>
        <w:rPr>
          <w:rFonts w:hint="eastAsia" w:ascii="仿宋_GB2312" w:hAnsi="微软雅黑" w:eastAsia="仿宋_GB2312" w:cs="宋体"/>
          <w:color w:val="333333"/>
          <w:kern w:val="0"/>
          <w:sz w:val="28"/>
          <w:szCs w:val="24"/>
          <w:lang w:eastAsia="zh-CN"/>
        </w:rPr>
      </w:pPr>
      <w:r>
        <w:rPr>
          <w:rFonts w:hint="eastAsia" w:ascii="仿宋_GB2312" w:hAnsi="微软雅黑" w:eastAsia="仿宋_GB2312" w:cs="宋体"/>
          <w:color w:val="333333"/>
          <w:kern w:val="0"/>
          <w:sz w:val="28"/>
          <w:szCs w:val="24"/>
          <w:lang w:eastAsia="zh-CN"/>
        </w:rPr>
        <w:t>（三）本行政机关人大代表建议和政协提案办理结果公开情况；</w:t>
      </w:r>
    </w:p>
    <w:p>
      <w:pPr>
        <w:widowControl/>
        <w:spacing w:line="450" w:lineRule="atLeast"/>
        <w:ind w:firstLine="480"/>
        <w:jc w:val="left"/>
        <w:rPr>
          <w:rFonts w:hint="eastAsia" w:ascii="仿宋_GB2312" w:hAnsi="微软雅黑" w:eastAsia="仿宋_GB2312" w:cs="宋体"/>
          <w:color w:val="333333"/>
          <w:kern w:val="0"/>
          <w:sz w:val="28"/>
          <w:szCs w:val="24"/>
          <w:lang w:eastAsia="zh-CN"/>
        </w:rPr>
      </w:pPr>
      <w:r>
        <w:rPr>
          <w:rFonts w:hint="eastAsia" w:ascii="仿宋_GB2312" w:hAnsi="微软雅黑" w:eastAsia="仿宋_GB2312" w:cs="宋体"/>
          <w:color w:val="333333"/>
          <w:kern w:val="0"/>
          <w:sz w:val="28"/>
          <w:szCs w:val="24"/>
        </w:rPr>
        <w:t>202</w:t>
      </w:r>
      <w:r>
        <w:rPr>
          <w:rFonts w:hint="eastAsia" w:ascii="仿宋_GB2312" w:hAnsi="微软雅黑" w:eastAsia="仿宋_GB2312" w:cs="宋体"/>
          <w:color w:val="333333"/>
          <w:kern w:val="0"/>
          <w:sz w:val="28"/>
          <w:szCs w:val="24"/>
          <w:lang w:val="en-US" w:eastAsia="zh-CN"/>
        </w:rPr>
        <w:t>2</w:t>
      </w:r>
      <w:r>
        <w:rPr>
          <w:rFonts w:hint="eastAsia" w:ascii="仿宋_GB2312" w:hAnsi="微软雅黑" w:eastAsia="仿宋_GB2312" w:cs="宋体"/>
          <w:color w:val="333333"/>
          <w:kern w:val="0"/>
          <w:sz w:val="28"/>
          <w:szCs w:val="24"/>
        </w:rPr>
        <w:t>年</w:t>
      </w:r>
      <w:r>
        <w:rPr>
          <w:rFonts w:hint="eastAsia" w:ascii="仿宋_GB2312" w:hAnsi="微软雅黑" w:eastAsia="仿宋_GB2312" w:cs="宋体"/>
          <w:color w:val="333333"/>
          <w:kern w:val="0"/>
          <w:sz w:val="28"/>
          <w:szCs w:val="24"/>
          <w:lang w:eastAsia="zh-CN"/>
        </w:rPr>
        <w:t>，汶上县信访局没有收到人大代表建议和政协提案相关内容。</w:t>
      </w:r>
    </w:p>
    <w:p>
      <w:pPr>
        <w:widowControl/>
        <w:spacing w:line="450" w:lineRule="atLeast"/>
        <w:ind w:firstLine="480"/>
        <w:jc w:val="left"/>
        <w:rPr>
          <w:rFonts w:ascii="仿宋_GB2312" w:hAnsi="微软雅黑" w:eastAsia="仿宋_GB2312" w:cs="宋体"/>
          <w:color w:val="333333"/>
          <w:kern w:val="0"/>
          <w:sz w:val="28"/>
          <w:szCs w:val="24"/>
        </w:rPr>
      </w:pPr>
      <w:r>
        <w:rPr>
          <w:rFonts w:hint="eastAsia" w:ascii="仿宋_GB2312" w:hAnsi="微软雅黑" w:eastAsia="仿宋_GB2312" w:cs="宋体"/>
          <w:color w:val="333333"/>
          <w:kern w:val="0"/>
          <w:sz w:val="28"/>
          <w:szCs w:val="24"/>
        </w:rPr>
        <w:t>（</w:t>
      </w:r>
      <w:r>
        <w:rPr>
          <w:rFonts w:hint="eastAsia" w:ascii="仿宋_GB2312" w:hAnsi="微软雅黑" w:eastAsia="仿宋_GB2312" w:cs="宋体"/>
          <w:color w:val="333333"/>
          <w:kern w:val="0"/>
          <w:sz w:val="28"/>
          <w:szCs w:val="24"/>
          <w:lang w:eastAsia="zh-CN"/>
        </w:rPr>
        <w:t>四</w:t>
      </w:r>
      <w:r>
        <w:rPr>
          <w:rFonts w:hint="eastAsia" w:ascii="仿宋_GB2312" w:hAnsi="微软雅黑" w:eastAsia="仿宋_GB2312" w:cs="宋体"/>
          <w:color w:val="333333"/>
          <w:kern w:val="0"/>
          <w:sz w:val="28"/>
          <w:szCs w:val="24"/>
        </w:rPr>
        <w:t>）</w:t>
      </w:r>
      <w:r>
        <w:rPr>
          <w:rFonts w:hint="eastAsia" w:ascii="仿宋_GB2312" w:hAnsi="微软雅黑" w:eastAsia="仿宋_GB2312" w:cs="宋体"/>
          <w:color w:val="333333"/>
          <w:kern w:val="0"/>
          <w:sz w:val="28"/>
          <w:szCs w:val="24"/>
          <w:lang w:eastAsia="zh-CN"/>
        </w:rPr>
        <w:t>本行政机关</w:t>
      </w:r>
      <w:r>
        <w:rPr>
          <w:rFonts w:hint="eastAsia" w:ascii="仿宋_GB2312" w:hAnsi="微软雅黑" w:eastAsia="仿宋_GB2312" w:cs="宋体"/>
          <w:color w:val="333333"/>
          <w:kern w:val="0"/>
          <w:sz w:val="28"/>
          <w:szCs w:val="24"/>
        </w:rPr>
        <w:t>202</w:t>
      </w:r>
      <w:r>
        <w:rPr>
          <w:rFonts w:hint="eastAsia" w:ascii="仿宋_GB2312" w:hAnsi="微软雅黑" w:eastAsia="仿宋_GB2312" w:cs="宋体"/>
          <w:color w:val="333333"/>
          <w:kern w:val="0"/>
          <w:sz w:val="28"/>
          <w:szCs w:val="24"/>
          <w:lang w:val="en-US" w:eastAsia="zh-CN"/>
        </w:rPr>
        <w:t>2</w:t>
      </w:r>
      <w:r>
        <w:rPr>
          <w:rFonts w:hint="eastAsia" w:ascii="仿宋_GB2312" w:hAnsi="微软雅黑" w:eastAsia="仿宋_GB2312" w:cs="宋体"/>
          <w:color w:val="333333"/>
          <w:kern w:val="0"/>
          <w:sz w:val="28"/>
          <w:szCs w:val="24"/>
        </w:rPr>
        <w:t>年度政务公开工作创新情况；</w:t>
      </w:r>
    </w:p>
    <w:p>
      <w:pPr>
        <w:widowControl/>
        <w:spacing w:line="450" w:lineRule="atLeast"/>
        <w:ind w:firstLine="480"/>
        <w:jc w:val="left"/>
        <w:rPr>
          <w:rFonts w:ascii="仿宋_GB2312" w:hAnsi="微软雅黑" w:eastAsia="仿宋_GB2312" w:cs="宋体"/>
          <w:color w:val="333333"/>
          <w:kern w:val="0"/>
          <w:sz w:val="28"/>
          <w:szCs w:val="24"/>
        </w:rPr>
      </w:pPr>
      <w:r>
        <w:rPr>
          <w:rFonts w:hint="eastAsia" w:ascii="仿宋_GB2312" w:hAnsi="微软雅黑" w:eastAsia="仿宋_GB2312" w:cs="宋体"/>
          <w:color w:val="333333"/>
          <w:kern w:val="0"/>
          <w:sz w:val="28"/>
          <w:szCs w:val="24"/>
        </w:rPr>
        <w:t>汶上县信访局不断推进政务公开工作创新发展，有效推动政务公开工作全面提升。为进一步畅通群众信访渠道，方便群众有针对性反映问题，县信访局充分利用“汶上县政府网站”和“汶上阳光信访”微信公众号等新媒体平台，将领导干部接待群众工作</w:t>
      </w:r>
      <w:r>
        <w:rPr>
          <w:rFonts w:hint="eastAsia" w:ascii="仿宋_GB2312" w:hAnsi="微软雅黑" w:eastAsia="仿宋_GB2312" w:cs="宋体"/>
          <w:color w:val="333333"/>
          <w:kern w:val="0"/>
          <w:sz w:val="28"/>
          <w:szCs w:val="24"/>
          <w:lang w:eastAsia="zh-CN"/>
        </w:rPr>
        <w:t>及时</w:t>
      </w:r>
      <w:r>
        <w:rPr>
          <w:rFonts w:hint="eastAsia" w:ascii="仿宋_GB2312" w:hAnsi="微软雅黑" w:eastAsia="仿宋_GB2312" w:cs="宋体"/>
          <w:color w:val="333333"/>
          <w:kern w:val="0"/>
          <w:sz w:val="28"/>
          <w:szCs w:val="24"/>
        </w:rPr>
        <w:t xml:space="preserve">向社会进行公布。       </w:t>
      </w:r>
    </w:p>
    <w:p>
      <w:pPr>
        <w:widowControl/>
        <w:spacing w:line="450" w:lineRule="atLeast"/>
        <w:ind w:firstLine="480"/>
        <w:jc w:val="left"/>
        <w:rPr>
          <w:rFonts w:ascii="仿宋_GB2312" w:hAnsi="微软雅黑" w:eastAsia="仿宋_GB2312" w:cs="宋体"/>
          <w:color w:val="333333"/>
          <w:kern w:val="0"/>
          <w:sz w:val="28"/>
          <w:szCs w:val="24"/>
        </w:rPr>
      </w:pPr>
      <w:r>
        <w:rPr>
          <w:rFonts w:hint="eastAsia" w:ascii="仿宋_GB2312" w:hAnsi="微软雅黑" w:eastAsia="仿宋_GB2312" w:cs="宋体"/>
          <w:color w:val="333333"/>
          <w:kern w:val="0"/>
          <w:sz w:val="28"/>
          <w:szCs w:val="24"/>
        </w:rPr>
        <w:t>（</w:t>
      </w:r>
      <w:r>
        <w:rPr>
          <w:rFonts w:hint="eastAsia" w:ascii="仿宋_GB2312" w:hAnsi="微软雅黑" w:eastAsia="仿宋_GB2312" w:cs="宋体"/>
          <w:color w:val="333333"/>
          <w:kern w:val="0"/>
          <w:sz w:val="28"/>
          <w:szCs w:val="24"/>
          <w:lang w:eastAsia="zh-CN"/>
        </w:rPr>
        <w:t>五</w:t>
      </w:r>
      <w:r>
        <w:rPr>
          <w:rFonts w:hint="eastAsia" w:ascii="仿宋_GB2312" w:hAnsi="微软雅黑" w:eastAsia="仿宋_GB2312" w:cs="宋体"/>
          <w:color w:val="333333"/>
          <w:kern w:val="0"/>
          <w:sz w:val="28"/>
          <w:szCs w:val="24"/>
        </w:rPr>
        <w:t>）</w:t>
      </w:r>
      <w:r>
        <w:rPr>
          <w:rFonts w:hint="eastAsia" w:ascii="仿宋_GB2312" w:hAnsi="微软雅黑" w:eastAsia="仿宋_GB2312" w:cs="宋体"/>
          <w:color w:val="333333"/>
          <w:kern w:val="0"/>
          <w:sz w:val="28"/>
          <w:szCs w:val="24"/>
          <w:lang w:eastAsia="zh-CN"/>
        </w:rPr>
        <w:t>本行政机关</w:t>
      </w:r>
      <w:r>
        <w:rPr>
          <w:rFonts w:hint="eastAsia" w:ascii="仿宋_GB2312" w:hAnsi="微软雅黑" w:eastAsia="仿宋_GB2312" w:cs="宋体"/>
          <w:color w:val="333333"/>
          <w:kern w:val="0"/>
          <w:sz w:val="28"/>
          <w:szCs w:val="24"/>
        </w:rPr>
        <w:t>政府信息公开工作年度报告数据统计需要说明的事项；</w:t>
      </w:r>
    </w:p>
    <w:p>
      <w:pPr>
        <w:ind w:firstLine="420" w:firstLineChars="150"/>
        <w:rPr>
          <w:rFonts w:hint="eastAsia" w:ascii="仿宋_GB2312" w:hAnsi="微软雅黑" w:eastAsia="仿宋_GB2312" w:cs="宋体"/>
          <w:color w:val="333333"/>
          <w:kern w:val="0"/>
          <w:sz w:val="28"/>
          <w:szCs w:val="24"/>
        </w:rPr>
      </w:pPr>
      <w:r>
        <w:rPr>
          <w:rFonts w:hint="eastAsia" w:ascii="仿宋_GB2312" w:hAnsi="微软雅黑" w:eastAsia="仿宋_GB2312" w:cs="宋体"/>
          <w:color w:val="333333"/>
          <w:kern w:val="0"/>
          <w:sz w:val="28"/>
          <w:szCs w:val="24"/>
        </w:rPr>
        <w:t>本报告所列数据的统计期限自</w:t>
      </w:r>
      <w:r>
        <w:rPr>
          <w:rFonts w:ascii="仿宋_GB2312" w:hAnsi="微软雅黑" w:eastAsia="仿宋_GB2312" w:cs="宋体"/>
          <w:color w:val="333333"/>
          <w:kern w:val="0"/>
          <w:sz w:val="28"/>
          <w:szCs w:val="24"/>
        </w:rPr>
        <w:t>202</w:t>
      </w:r>
      <w:r>
        <w:rPr>
          <w:rFonts w:hint="eastAsia" w:ascii="仿宋_GB2312" w:hAnsi="微软雅黑" w:eastAsia="仿宋_GB2312" w:cs="宋体"/>
          <w:color w:val="333333"/>
          <w:kern w:val="0"/>
          <w:sz w:val="28"/>
          <w:szCs w:val="24"/>
          <w:lang w:val="en-US" w:eastAsia="zh-CN"/>
        </w:rPr>
        <w:t>2</w:t>
      </w:r>
      <w:r>
        <w:rPr>
          <w:rFonts w:hint="eastAsia" w:ascii="仿宋_GB2312" w:hAnsi="微软雅黑" w:eastAsia="仿宋_GB2312" w:cs="宋体"/>
          <w:color w:val="333333"/>
          <w:kern w:val="0"/>
          <w:sz w:val="28"/>
          <w:szCs w:val="24"/>
        </w:rPr>
        <w:t>年</w:t>
      </w:r>
      <w:r>
        <w:rPr>
          <w:rFonts w:ascii="仿宋_GB2312" w:hAnsi="微软雅黑" w:eastAsia="仿宋_GB2312" w:cs="宋体"/>
          <w:color w:val="333333"/>
          <w:kern w:val="0"/>
          <w:sz w:val="28"/>
          <w:szCs w:val="24"/>
        </w:rPr>
        <w:t>1</w:t>
      </w:r>
      <w:r>
        <w:rPr>
          <w:rFonts w:hint="eastAsia" w:ascii="仿宋_GB2312" w:hAnsi="微软雅黑" w:eastAsia="仿宋_GB2312" w:cs="宋体"/>
          <w:color w:val="333333"/>
          <w:kern w:val="0"/>
          <w:sz w:val="28"/>
          <w:szCs w:val="24"/>
        </w:rPr>
        <w:t>月</w:t>
      </w:r>
      <w:r>
        <w:rPr>
          <w:rFonts w:ascii="仿宋_GB2312" w:hAnsi="微软雅黑" w:eastAsia="仿宋_GB2312" w:cs="宋体"/>
          <w:color w:val="333333"/>
          <w:kern w:val="0"/>
          <w:sz w:val="28"/>
          <w:szCs w:val="24"/>
        </w:rPr>
        <w:t>1</w:t>
      </w:r>
      <w:r>
        <w:rPr>
          <w:rFonts w:hint="eastAsia" w:ascii="仿宋_GB2312" w:hAnsi="微软雅黑" w:eastAsia="仿宋_GB2312" w:cs="宋体"/>
          <w:color w:val="333333"/>
          <w:kern w:val="0"/>
          <w:sz w:val="28"/>
          <w:szCs w:val="24"/>
        </w:rPr>
        <w:t>日起至</w:t>
      </w:r>
      <w:r>
        <w:rPr>
          <w:rFonts w:ascii="仿宋_GB2312" w:hAnsi="微软雅黑" w:eastAsia="仿宋_GB2312" w:cs="宋体"/>
          <w:color w:val="333333"/>
          <w:kern w:val="0"/>
          <w:sz w:val="28"/>
          <w:szCs w:val="24"/>
        </w:rPr>
        <w:t>202</w:t>
      </w:r>
      <w:r>
        <w:rPr>
          <w:rFonts w:hint="eastAsia" w:ascii="仿宋_GB2312" w:hAnsi="微软雅黑" w:eastAsia="仿宋_GB2312" w:cs="宋体"/>
          <w:color w:val="333333"/>
          <w:kern w:val="0"/>
          <w:sz w:val="28"/>
          <w:szCs w:val="24"/>
          <w:lang w:val="en-US" w:eastAsia="zh-CN"/>
        </w:rPr>
        <w:t>2</w:t>
      </w:r>
      <w:r>
        <w:rPr>
          <w:rFonts w:hint="eastAsia" w:ascii="仿宋_GB2312" w:hAnsi="微软雅黑" w:eastAsia="仿宋_GB2312" w:cs="宋体"/>
          <w:color w:val="333333"/>
          <w:kern w:val="0"/>
          <w:sz w:val="28"/>
          <w:szCs w:val="24"/>
        </w:rPr>
        <w:t>年</w:t>
      </w:r>
      <w:r>
        <w:rPr>
          <w:rFonts w:ascii="仿宋_GB2312" w:hAnsi="微软雅黑" w:eastAsia="仿宋_GB2312" w:cs="宋体"/>
          <w:color w:val="333333"/>
          <w:kern w:val="0"/>
          <w:sz w:val="28"/>
          <w:szCs w:val="24"/>
        </w:rPr>
        <w:t>12</w:t>
      </w:r>
      <w:r>
        <w:rPr>
          <w:rFonts w:hint="eastAsia" w:ascii="仿宋_GB2312" w:hAnsi="微软雅黑" w:eastAsia="仿宋_GB2312" w:cs="宋体"/>
          <w:color w:val="333333"/>
          <w:kern w:val="0"/>
          <w:sz w:val="28"/>
          <w:szCs w:val="24"/>
        </w:rPr>
        <w:t>月</w:t>
      </w:r>
      <w:r>
        <w:rPr>
          <w:rFonts w:ascii="仿宋_GB2312" w:hAnsi="微软雅黑" w:eastAsia="仿宋_GB2312" w:cs="宋体"/>
          <w:color w:val="333333"/>
          <w:kern w:val="0"/>
          <w:sz w:val="28"/>
          <w:szCs w:val="24"/>
        </w:rPr>
        <w:t>31</w:t>
      </w:r>
      <w:r>
        <w:rPr>
          <w:rFonts w:hint="eastAsia" w:ascii="仿宋_GB2312" w:hAnsi="微软雅黑" w:eastAsia="仿宋_GB2312" w:cs="宋体"/>
          <w:color w:val="333333"/>
          <w:kern w:val="0"/>
          <w:sz w:val="28"/>
          <w:szCs w:val="24"/>
        </w:rPr>
        <w:t>日止。</w:t>
      </w:r>
    </w:p>
    <w:p>
      <w:pPr>
        <w:spacing w:line="590" w:lineRule="exact"/>
        <w:ind w:right="-105" w:rightChars="-50" w:firstLine="560" w:firstLineChars="200"/>
        <w:rPr>
          <w:rFonts w:ascii="方正仿宋简体" w:eastAsia="方正仿宋简体"/>
          <w:b/>
          <w:sz w:val="32"/>
          <w:szCs w:val="32"/>
        </w:rPr>
      </w:pPr>
      <w:r>
        <w:rPr>
          <w:rFonts w:hint="eastAsia" w:ascii="仿宋_GB2312" w:hAnsi="微软雅黑" w:eastAsia="仿宋_GB2312" w:cs="宋体"/>
          <w:color w:val="333333"/>
          <w:kern w:val="0"/>
          <w:sz w:val="28"/>
          <w:szCs w:val="24"/>
          <w:lang w:eastAsia="zh-CN"/>
        </w:rPr>
        <w:t>（六）</w:t>
      </w:r>
      <w:r>
        <w:rPr>
          <w:rFonts w:hint="eastAsia" w:ascii="仿宋_GB2312" w:hAnsi="微软雅黑" w:eastAsia="仿宋_GB2312" w:cs="宋体"/>
          <w:color w:val="333333"/>
          <w:kern w:val="0"/>
          <w:sz w:val="28"/>
          <w:szCs w:val="24"/>
        </w:rPr>
        <w:t>本行政机关认为需要报告的其他事项；</w:t>
      </w:r>
    </w:p>
    <w:p>
      <w:pPr>
        <w:ind w:firstLine="420" w:firstLineChars="150"/>
        <w:rPr>
          <w:rFonts w:hint="eastAsia" w:ascii="仿宋_GB2312" w:hAnsi="微软雅黑" w:eastAsia="仿宋_GB2312" w:cs="宋体"/>
          <w:color w:val="333333"/>
          <w:kern w:val="0"/>
          <w:sz w:val="28"/>
          <w:szCs w:val="24"/>
          <w:lang w:eastAsia="zh-CN"/>
        </w:rPr>
      </w:pPr>
      <w:r>
        <w:rPr>
          <w:rFonts w:hint="eastAsia" w:ascii="仿宋_GB2312" w:hAnsi="微软雅黑" w:eastAsia="仿宋_GB2312" w:cs="宋体"/>
          <w:color w:val="333333"/>
          <w:kern w:val="0"/>
          <w:sz w:val="28"/>
          <w:szCs w:val="24"/>
        </w:rPr>
        <w:t>202</w:t>
      </w:r>
      <w:r>
        <w:rPr>
          <w:rFonts w:hint="eastAsia" w:ascii="仿宋_GB2312" w:hAnsi="微软雅黑" w:eastAsia="仿宋_GB2312" w:cs="宋体"/>
          <w:color w:val="333333"/>
          <w:kern w:val="0"/>
          <w:sz w:val="28"/>
          <w:szCs w:val="24"/>
          <w:lang w:val="en-US" w:eastAsia="zh-CN"/>
        </w:rPr>
        <w:t>2</w:t>
      </w:r>
      <w:r>
        <w:rPr>
          <w:rFonts w:hint="eastAsia" w:ascii="仿宋_GB2312" w:hAnsi="微软雅黑" w:eastAsia="仿宋_GB2312" w:cs="宋体"/>
          <w:color w:val="333333"/>
          <w:kern w:val="0"/>
          <w:sz w:val="28"/>
          <w:szCs w:val="24"/>
        </w:rPr>
        <w:t>年</w:t>
      </w:r>
      <w:r>
        <w:rPr>
          <w:rFonts w:hint="eastAsia" w:ascii="仿宋_GB2312" w:hAnsi="微软雅黑" w:eastAsia="仿宋_GB2312" w:cs="宋体"/>
          <w:color w:val="333333"/>
          <w:kern w:val="0"/>
          <w:sz w:val="28"/>
          <w:szCs w:val="24"/>
          <w:lang w:eastAsia="zh-CN"/>
        </w:rPr>
        <w:t>，汶上县信访局无</w:t>
      </w:r>
      <w:r>
        <w:rPr>
          <w:rFonts w:hint="eastAsia" w:ascii="仿宋_GB2312" w:hAnsi="微软雅黑" w:eastAsia="仿宋_GB2312" w:cs="宋体"/>
          <w:color w:val="333333"/>
          <w:kern w:val="0"/>
          <w:sz w:val="28"/>
          <w:szCs w:val="24"/>
        </w:rPr>
        <w:t>需要报告的其他事项</w:t>
      </w:r>
      <w:r>
        <w:rPr>
          <w:rFonts w:hint="eastAsia" w:ascii="仿宋_GB2312" w:hAnsi="微软雅黑" w:eastAsia="仿宋_GB2312" w:cs="宋体"/>
          <w:color w:val="333333"/>
          <w:kern w:val="0"/>
          <w:sz w:val="28"/>
          <w:szCs w:val="24"/>
          <w:lang w:eastAsia="zh-CN"/>
        </w:rPr>
        <w:t>。</w:t>
      </w:r>
    </w:p>
    <w:p>
      <w:pPr>
        <w:numPr>
          <w:ilvl w:val="0"/>
          <w:numId w:val="0"/>
        </w:numPr>
        <w:ind w:firstLine="560" w:firstLineChars="200"/>
        <w:rPr>
          <w:rFonts w:hint="eastAsia" w:ascii="仿宋_GB2312" w:hAnsi="微软雅黑" w:eastAsia="仿宋_GB2312" w:cs="宋体"/>
          <w:color w:val="333333"/>
          <w:kern w:val="0"/>
          <w:sz w:val="28"/>
          <w:szCs w:val="24"/>
          <w:lang w:eastAsia="zh-CN"/>
        </w:rPr>
      </w:pPr>
      <w:r>
        <w:rPr>
          <w:rFonts w:hint="eastAsia" w:ascii="仿宋_GB2312" w:hAnsi="微软雅黑" w:eastAsia="仿宋_GB2312" w:cs="宋体"/>
          <w:color w:val="333333"/>
          <w:kern w:val="0"/>
          <w:sz w:val="28"/>
          <w:szCs w:val="24"/>
          <w:lang w:eastAsia="zh-CN"/>
        </w:rPr>
        <w:t>（七）其他有关文件专门要求通过政府信息公开工作年度报告予以报告的事项。</w:t>
      </w:r>
    </w:p>
    <w:p>
      <w:pPr>
        <w:numPr>
          <w:ilvl w:val="0"/>
          <w:numId w:val="0"/>
        </w:numPr>
        <w:ind w:firstLine="560" w:firstLineChars="200"/>
        <w:rPr>
          <w:rFonts w:hint="default" w:ascii="仿宋_GB2312" w:hAnsi="微软雅黑" w:eastAsia="仿宋_GB2312" w:cs="宋体"/>
          <w:color w:val="333333"/>
          <w:kern w:val="0"/>
          <w:sz w:val="28"/>
          <w:szCs w:val="24"/>
          <w:lang w:val="en-US" w:eastAsia="zh-CN"/>
        </w:rPr>
      </w:pPr>
      <w:r>
        <w:rPr>
          <w:rFonts w:hint="eastAsia" w:ascii="仿宋_GB2312" w:hAnsi="微软雅黑" w:eastAsia="仿宋_GB2312" w:cs="宋体"/>
          <w:color w:val="333333"/>
          <w:kern w:val="0"/>
          <w:sz w:val="28"/>
          <w:szCs w:val="24"/>
        </w:rPr>
        <w:t>202</w:t>
      </w:r>
      <w:r>
        <w:rPr>
          <w:rFonts w:hint="eastAsia" w:ascii="仿宋_GB2312" w:hAnsi="微软雅黑" w:eastAsia="仿宋_GB2312" w:cs="宋体"/>
          <w:color w:val="333333"/>
          <w:kern w:val="0"/>
          <w:sz w:val="28"/>
          <w:szCs w:val="24"/>
          <w:lang w:val="en-US" w:eastAsia="zh-CN"/>
        </w:rPr>
        <w:t>2</w:t>
      </w:r>
      <w:r>
        <w:rPr>
          <w:rFonts w:hint="eastAsia" w:ascii="仿宋_GB2312" w:hAnsi="微软雅黑" w:eastAsia="仿宋_GB2312" w:cs="宋体"/>
          <w:color w:val="333333"/>
          <w:kern w:val="0"/>
          <w:sz w:val="28"/>
          <w:szCs w:val="24"/>
        </w:rPr>
        <w:t>年</w:t>
      </w:r>
      <w:r>
        <w:rPr>
          <w:rFonts w:hint="eastAsia" w:ascii="仿宋_GB2312" w:hAnsi="微软雅黑" w:eastAsia="仿宋_GB2312" w:cs="宋体"/>
          <w:color w:val="333333"/>
          <w:kern w:val="0"/>
          <w:sz w:val="28"/>
          <w:szCs w:val="24"/>
          <w:lang w:eastAsia="zh-CN"/>
        </w:rPr>
        <w:t>，汶上县信访局无有关文件专门要求通过政府信息公开工作年度报告予以报告的事项。</w:t>
      </w:r>
    </w:p>
    <w:p>
      <w:pPr>
        <w:rPr>
          <w:rFonts w:ascii="仿宋_GB2312" w:eastAsia="仿宋_GB2312"/>
          <w:sz w:val="2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2ZlOWEyY2JiY2JiZWM3MDhjYzIzM2E2ZDU5NTQifQ=="/>
  </w:docVars>
  <w:rsids>
    <w:rsidRoot w:val="001B65B6"/>
    <w:rsid w:val="00052E06"/>
    <w:rsid w:val="0007147B"/>
    <w:rsid w:val="001342C2"/>
    <w:rsid w:val="001677CD"/>
    <w:rsid w:val="001B65B6"/>
    <w:rsid w:val="001D4669"/>
    <w:rsid w:val="001F6154"/>
    <w:rsid w:val="00272C78"/>
    <w:rsid w:val="002C2737"/>
    <w:rsid w:val="003C41F0"/>
    <w:rsid w:val="00462318"/>
    <w:rsid w:val="004C08FF"/>
    <w:rsid w:val="004F68A1"/>
    <w:rsid w:val="0051794B"/>
    <w:rsid w:val="00535492"/>
    <w:rsid w:val="005602C6"/>
    <w:rsid w:val="00581058"/>
    <w:rsid w:val="005C3B05"/>
    <w:rsid w:val="005E0286"/>
    <w:rsid w:val="00623C04"/>
    <w:rsid w:val="006C5060"/>
    <w:rsid w:val="006C521E"/>
    <w:rsid w:val="006F2088"/>
    <w:rsid w:val="00730D7E"/>
    <w:rsid w:val="00753147"/>
    <w:rsid w:val="00827580"/>
    <w:rsid w:val="00840069"/>
    <w:rsid w:val="00883E2F"/>
    <w:rsid w:val="00975550"/>
    <w:rsid w:val="009877B9"/>
    <w:rsid w:val="00AC48D6"/>
    <w:rsid w:val="00AD055C"/>
    <w:rsid w:val="00AD393F"/>
    <w:rsid w:val="00B87F3E"/>
    <w:rsid w:val="00BC77B0"/>
    <w:rsid w:val="00C03461"/>
    <w:rsid w:val="00C54168"/>
    <w:rsid w:val="00C61291"/>
    <w:rsid w:val="00C67EA0"/>
    <w:rsid w:val="00D273AB"/>
    <w:rsid w:val="00E36547"/>
    <w:rsid w:val="00E73B4C"/>
    <w:rsid w:val="00E73BE7"/>
    <w:rsid w:val="00EB38DD"/>
    <w:rsid w:val="00F21210"/>
    <w:rsid w:val="00FA224C"/>
    <w:rsid w:val="00FB6D74"/>
    <w:rsid w:val="01556D30"/>
    <w:rsid w:val="03574987"/>
    <w:rsid w:val="10872F57"/>
    <w:rsid w:val="12721903"/>
    <w:rsid w:val="14F37664"/>
    <w:rsid w:val="1E6C03DB"/>
    <w:rsid w:val="25BD32CA"/>
    <w:rsid w:val="30A72632"/>
    <w:rsid w:val="341F2429"/>
    <w:rsid w:val="37EE32C1"/>
    <w:rsid w:val="3AD41126"/>
    <w:rsid w:val="419929E5"/>
    <w:rsid w:val="41BD0482"/>
    <w:rsid w:val="4C927B3B"/>
    <w:rsid w:val="53637943"/>
    <w:rsid w:val="5B5714EF"/>
    <w:rsid w:val="5E8E0F7B"/>
    <w:rsid w:val="660A1D75"/>
    <w:rsid w:val="723104C7"/>
    <w:rsid w:val="774A385E"/>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523048788577"/>
          <c:y val="0.0323003294269321"/>
          <c:w val="0.789935963960363"/>
          <c:h val="0.689951408363097"/>
        </c:manualLayout>
      </c:layout>
      <c:barChart>
        <c:barDir val="col"/>
        <c:grouping val="stacked"/>
        <c:varyColors val="0"/>
        <c:ser>
          <c:idx val="0"/>
          <c:order val="0"/>
          <c:tx>
            <c:strRef>
              <c:f>Sheet1!$B$1</c:f>
              <c:strCache>
                <c:ptCount val="1"/>
                <c:pt idx="0">
                  <c:v>政府网站</c:v>
                </c:pt>
              </c:strCache>
            </c:strRef>
          </c:tx>
          <c:invertIfNegative val="0"/>
          <c:dLbls>
            <c:delete val="1"/>
          </c:dLbls>
          <c:cat>
            <c:strRef>
              <c:f>Sheet1!$A$2:$A$4</c:f>
              <c:strCache>
                <c:ptCount val="3"/>
                <c:pt idx="0">
                  <c:v>类别 1</c:v>
                </c:pt>
                <c:pt idx="1">
                  <c:v>“汶上阳光信访”微信公众号</c:v>
                </c:pt>
                <c:pt idx="2">
                  <c:v>类别 3</c:v>
                </c:pt>
              </c:strCache>
            </c:strRef>
          </c:cat>
          <c:val>
            <c:numRef>
              <c:f>Sheet1!$B$2:$B$4</c:f>
              <c:numCache>
                <c:formatCode>General</c:formatCode>
                <c:ptCount val="3"/>
                <c:pt idx="0">
                  <c:v>64</c:v>
                </c:pt>
                <c:pt idx="1">
                  <c:v>0</c:v>
                </c:pt>
                <c:pt idx="2">
                  <c:v>0</c:v>
                </c:pt>
              </c:numCache>
            </c:numRef>
          </c:val>
        </c:ser>
        <c:ser>
          <c:idx val="1"/>
          <c:order val="1"/>
          <c:tx>
            <c:strRef>
              <c:f>Sheet1!$C$1</c:f>
              <c:strCache>
                <c:ptCount val="1"/>
                <c:pt idx="0">
                  <c:v>“汶上阳光信访”微信公众号</c:v>
                </c:pt>
              </c:strCache>
            </c:strRef>
          </c:tx>
          <c:invertIfNegative val="0"/>
          <c:dLbls>
            <c:delete val="1"/>
          </c:dLbls>
          <c:cat>
            <c:strRef>
              <c:f>Sheet1!$A$2:$A$4</c:f>
              <c:strCache>
                <c:ptCount val="3"/>
                <c:pt idx="0">
                  <c:v>类别 1</c:v>
                </c:pt>
                <c:pt idx="1">
                  <c:v>“汶上阳光信访”微信公众号</c:v>
                </c:pt>
                <c:pt idx="2">
                  <c:v>类别 3</c:v>
                </c:pt>
              </c:strCache>
            </c:strRef>
          </c:cat>
          <c:val>
            <c:numRef>
              <c:f>Sheet1!$C$2:$C$4</c:f>
              <c:numCache>
                <c:formatCode>General</c:formatCode>
                <c:ptCount val="3"/>
                <c:pt idx="0">
                  <c:v>0</c:v>
                </c:pt>
                <c:pt idx="1">
                  <c:v>412</c:v>
                </c:pt>
                <c:pt idx="2">
                  <c:v>0</c:v>
                </c:pt>
              </c:numCache>
            </c:numRef>
          </c:val>
        </c:ser>
        <c:ser>
          <c:idx val="2"/>
          <c:order val="2"/>
          <c:tx>
            <c:strRef>
              <c:f>Sheet1!$D$1</c:f>
              <c:strCache>
                <c:ptCount val="1"/>
                <c:pt idx="0">
                  <c:v>合计</c:v>
                </c:pt>
              </c:strCache>
            </c:strRef>
          </c:tx>
          <c:invertIfNegative val="0"/>
          <c:dLbls>
            <c:delete val="1"/>
          </c:dLbls>
          <c:cat>
            <c:strRef>
              <c:f>Sheet1!$A$2:$A$4</c:f>
              <c:strCache>
                <c:ptCount val="3"/>
                <c:pt idx="0">
                  <c:v>类别 1</c:v>
                </c:pt>
                <c:pt idx="1">
                  <c:v>“汶上阳光信访”微信公众号</c:v>
                </c:pt>
                <c:pt idx="2">
                  <c:v>类别 3</c:v>
                </c:pt>
              </c:strCache>
            </c:strRef>
          </c:cat>
          <c:val>
            <c:numRef>
              <c:f>Sheet1!$D$2:$D$4</c:f>
              <c:numCache>
                <c:formatCode>General</c:formatCode>
                <c:ptCount val="3"/>
                <c:pt idx="0">
                  <c:v>0</c:v>
                </c:pt>
                <c:pt idx="1">
                  <c:v>0</c:v>
                </c:pt>
                <c:pt idx="2">
                  <c:v>476</c:v>
                </c:pt>
              </c:numCache>
            </c:numRef>
          </c:val>
        </c:ser>
        <c:dLbls>
          <c:showLegendKey val="0"/>
          <c:showVal val="0"/>
          <c:showCatName val="0"/>
          <c:showSerName val="0"/>
          <c:showPercent val="0"/>
          <c:showBubbleSize val="0"/>
        </c:dLbls>
        <c:gapWidth val="150"/>
        <c:overlap val="100"/>
        <c:axId val="138297344"/>
        <c:axId val="138298880"/>
      </c:barChart>
      <c:catAx>
        <c:axId val="13829734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298880"/>
        <c:crosses val="autoZero"/>
        <c:auto val="1"/>
        <c:lblAlgn val="ctr"/>
        <c:lblOffset val="100"/>
        <c:noMultiLvlLbl val="0"/>
      </c:catAx>
      <c:valAx>
        <c:axId val="138298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297344"/>
        <c:crosses val="autoZero"/>
        <c:crossBetween val="between"/>
      </c:valAx>
    </c:plotArea>
    <c:legend>
      <c:legendPos val="r"/>
      <c:layout>
        <c:manualLayout>
          <c:xMode val="edge"/>
          <c:yMode val="edge"/>
          <c:x val="0.0962695547533093"/>
          <c:y val="0.840496937882765"/>
          <c:w val="0.853255625172908"/>
          <c:h val="0.15804171677927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6EB0A-C45A-4D24-A1E5-52A83C73CB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3178</Words>
  <Characters>3301</Characters>
  <Lines>24</Lines>
  <Paragraphs>6</Paragraphs>
  <TotalTime>2</TotalTime>
  <ScaleCrop>false</ScaleCrop>
  <LinksUpToDate>false</LinksUpToDate>
  <CharactersWithSpaces>3325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2022-01-14T05:30:00Z</dcterms:created>
  <dc:creator>PC</dc:creator>
  <cp:lastModifiedBy>滴水藏海</cp:lastModifiedBy>
  <dcterms:modified xsi:type="dcterms:W3CDTF">2023-01-31T02:27:39Z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33D5CF27E36C4861BEEF36EFEFB19688</vt:lpwstr>
  </property>
</Properties>
</file>