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D60" w:rsidRPr="00CA3D60" w:rsidRDefault="00CA3D60" w:rsidP="00CA3D60">
      <w:pPr>
        <w:spacing w:line="600" w:lineRule="exact"/>
        <w:jc w:val="left"/>
        <w:rPr>
          <w:rFonts w:ascii="黑体" w:eastAsia="黑体" w:hAnsi="黑体"/>
          <w:bCs/>
          <w:sz w:val="32"/>
          <w:szCs w:val="32"/>
        </w:rPr>
      </w:pPr>
      <w:r w:rsidRPr="00CA3D60">
        <w:rPr>
          <w:rFonts w:ascii="黑体" w:eastAsia="黑体" w:hAnsi="黑体" w:hint="eastAsia"/>
          <w:bCs/>
          <w:sz w:val="32"/>
          <w:szCs w:val="32"/>
        </w:rPr>
        <w:t>附件</w:t>
      </w:r>
    </w:p>
    <w:p w:rsidR="00B87C83" w:rsidRDefault="007120A4">
      <w:pPr>
        <w:spacing w:line="60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汶上县城市基础设施配套费征收使用</w:t>
      </w:r>
    </w:p>
    <w:p w:rsidR="00B87C83" w:rsidRDefault="007120A4">
      <w:pPr>
        <w:spacing w:line="60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管理暂行办法</w:t>
      </w:r>
    </w:p>
    <w:p w:rsidR="00B87C83" w:rsidRDefault="007120A4">
      <w:pPr>
        <w:spacing w:line="600" w:lineRule="exact"/>
        <w:jc w:val="center"/>
        <w:rPr>
          <w:rFonts w:ascii="Times New Roman" w:eastAsia="楷体_GB2312" w:hAnsi="Times New Roman"/>
          <w:bCs/>
          <w:sz w:val="32"/>
          <w:szCs w:val="44"/>
        </w:rPr>
      </w:pPr>
      <w:r>
        <w:rPr>
          <w:rFonts w:ascii="Times New Roman" w:eastAsia="楷体_GB2312" w:hAnsi="Times New Roman"/>
          <w:bCs/>
          <w:sz w:val="32"/>
          <w:szCs w:val="44"/>
        </w:rPr>
        <w:t>（</w:t>
      </w:r>
      <w:r w:rsidR="007725A9">
        <w:rPr>
          <w:rFonts w:ascii="Times New Roman" w:eastAsia="楷体_GB2312" w:hAnsi="Times New Roman" w:hint="eastAsia"/>
          <w:bCs/>
          <w:sz w:val="32"/>
          <w:szCs w:val="44"/>
        </w:rPr>
        <w:t>征求意见稿</w:t>
      </w:r>
      <w:r>
        <w:rPr>
          <w:rFonts w:ascii="Times New Roman" w:eastAsia="楷体_GB2312" w:hAnsi="Times New Roman"/>
          <w:bCs/>
          <w:sz w:val="32"/>
          <w:szCs w:val="44"/>
        </w:rPr>
        <w:t>）</w:t>
      </w:r>
    </w:p>
    <w:p w:rsidR="00B87C83" w:rsidRDefault="00B87C83">
      <w:pPr>
        <w:spacing w:line="600" w:lineRule="exact"/>
        <w:rPr>
          <w:rFonts w:ascii="Times New Roman" w:eastAsia="仿宋" w:hAnsi="Times New Roman"/>
          <w:sz w:val="32"/>
          <w:szCs w:val="32"/>
        </w:rPr>
      </w:pP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为了加强和规范城市基础设施配套费征收使用管理，促进城市基础设施建设，根据有关法律、法规、规章和《济宁市主城区城市基础设施配套费征收使用管理暂行办法》（济政发〔</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12</w:t>
      </w:r>
      <w:r>
        <w:rPr>
          <w:rFonts w:ascii="Times New Roman" w:eastAsia="仿宋_GB2312" w:hAnsi="Times New Roman"/>
          <w:sz w:val="32"/>
          <w:szCs w:val="32"/>
        </w:rPr>
        <w:t>号）规定，结合我县实际，制定本办法。</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第二条</w:t>
      </w:r>
      <w:r>
        <w:rPr>
          <w:rFonts w:ascii="Times New Roman" w:eastAsia="仿宋_GB2312" w:hAnsi="Times New Roman"/>
          <w:sz w:val="32"/>
          <w:szCs w:val="32"/>
        </w:rPr>
        <w:t xml:space="preserve">  </w:t>
      </w:r>
      <w:r>
        <w:rPr>
          <w:rFonts w:ascii="Times New Roman" w:eastAsia="仿宋_GB2312" w:hAnsi="Times New Roman"/>
          <w:sz w:val="32"/>
          <w:szCs w:val="32"/>
        </w:rPr>
        <w:t>本办法所称城市基础设施配套费，是指用于汶上县城区城市基础设施建设的专项资金，包括综合配套费和专项配套费。</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综合配套费是指由县政府统筹使用，主要用于城区城市道路、桥梁等市政公用基础设施建设的专项资金。</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专项配套费是指由城市供水、供气、供热、供电单位（以下统称专业经营单位）使用，用于建设项目规划红线外（建设项目规划边界线）供水、供气、供热、供电设施设备建设的专项资金。</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第三条</w:t>
      </w:r>
      <w:r>
        <w:rPr>
          <w:rFonts w:ascii="Times New Roman" w:eastAsia="仿宋_GB2312" w:hAnsi="Times New Roman"/>
          <w:sz w:val="32"/>
          <w:szCs w:val="32"/>
        </w:rPr>
        <w:t xml:space="preserve">  </w:t>
      </w:r>
      <w:r>
        <w:rPr>
          <w:rFonts w:ascii="Times New Roman" w:eastAsia="仿宋_GB2312" w:hAnsi="Times New Roman"/>
          <w:sz w:val="32"/>
          <w:szCs w:val="32"/>
        </w:rPr>
        <w:t>汶上县中心城区（具体范围依据《汶上县城市总体规划（</w:t>
      </w:r>
      <w:r>
        <w:rPr>
          <w:rFonts w:ascii="Times New Roman" w:eastAsia="仿宋_GB2312" w:hAnsi="Times New Roman"/>
          <w:sz w:val="32"/>
          <w:szCs w:val="32"/>
        </w:rPr>
        <w:t>2012-2030</w:t>
      </w:r>
      <w:r>
        <w:rPr>
          <w:rFonts w:ascii="Times New Roman" w:eastAsia="仿宋_GB2312" w:hAnsi="Times New Roman"/>
          <w:sz w:val="32"/>
          <w:szCs w:val="32"/>
        </w:rPr>
        <w:t>年）》规划区域确定）范围内新建、扩建、改建建设项目的单位和个人（以下统称建设单位和个人），均应当按照规定缴纳城市基础设施配套费。</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第四条</w:t>
      </w:r>
      <w:r>
        <w:rPr>
          <w:rFonts w:ascii="Times New Roman" w:eastAsia="仿宋_GB2312" w:hAnsi="Times New Roman"/>
          <w:sz w:val="32"/>
          <w:szCs w:val="32"/>
        </w:rPr>
        <w:t xml:space="preserve">  </w:t>
      </w:r>
      <w:r>
        <w:rPr>
          <w:rFonts w:ascii="Times New Roman" w:eastAsia="仿宋_GB2312" w:hAnsi="Times New Roman"/>
          <w:sz w:val="32"/>
          <w:szCs w:val="32"/>
        </w:rPr>
        <w:t>县财政局负责城市基础设施配套费管理工作。县住房和城乡建设局负责城区城市基础设施配套费征收工作。行政审</w:t>
      </w:r>
      <w:r>
        <w:rPr>
          <w:rFonts w:ascii="Times New Roman" w:eastAsia="仿宋_GB2312" w:hAnsi="Times New Roman"/>
          <w:sz w:val="32"/>
          <w:szCs w:val="32"/>
        </w:rPr>
        <w:lastRenderedPageBreak/>
        <w:t>批服务局、自然资源和规划局、发展和改革局、审计局等部门按照各自职责，做好城市基础设施配套费征收使用管理相关工作。</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城市基础设施配套费征收标准：</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（一）居住、公共建筑等民用建设项目，城市基础设施配套费按照下列标准征收。</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综合配套费按照建筑面积每平方米</w:t>
      </w:r>
      <w:r>
        <w:rPr>
          <w:rFonts w:ascii="Times New Roman" w:eastAsia="仿宋_GB2312" w:hAnsi="Times New Roman"/>
          <w:sz w:val="32"/>
          <w:szCs w:val="32"/>
        </w:rPr>
        <w:t>128</w:t>
      </w:r>
      <w:r>
        <w:rPr>
          <w:rFonts w:ascii="Times New Roman" w:eastAsia="仿宋_GB2312" w:hAnsi="Times New Roman"/>
          <w:sz w:val="32"/>
          <w:szCs w:val="32"/>
        </w:rPr>
        <w:t>元征收。</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专项配套费按照建筑面积每平方米</w:t>
      </w:r>
      <w:r>
        <w:rPr>
          <w:rFonts w:ascii="Times New Roman" w:eastAsia="仿宋_GB2312" w:hAnsi="Times New Roman"/>
          <w:sz w:val="32"/>
          <w:szCs w:val="32"/>
        </w:rPr>
        <w:t>71</w:t>
      </w:r>
      <w:r>
        <w:rPr>
          <w:rFonts w:ascii="Times New Roman" w:eastAsia="仿宋_GB2312" w:hAnsi="Times New Roman"/>
          <w:sz w:val="32"/>
          <w:szCs w:val="32"/>
        </w:rPr>
        <w:t>元征收。</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（二）工业企业建设项目，综合配套费按照下列标准征收：</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生产经营性建设项目综合配套费，按照建筑面积每平方米</w:t>
      </w:r>
      <w:r>
        <w:rPr>
          <w:rFonts w:ascii="Times New Roman" w:eastAsia="仿宋_GB2312" w:hAnsi="Times New Roman"/>
          <w:sz w:val="32"/>
          <w:szCs w:val="32"/>
        </w:rPr>
        <w:t>73</w:t>
      </w:r>
      <w:r>
        <w:rPr>
          <w:rFonts w:ascii="Times New Roman" w:eastAsia="仿宋_GB2312" w:hAnsi="Times New Roman"/>
          <w:sz w:val="32"/>
          <w:szCs w:val="32"/>
        </w:rPr>
        <w:t>元征收。</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非生产经营性建设项目综合配套费，按照建筑面积每方米</w:t>
      </w:r>
      <w:r>
        <w:rPr>
          <w:rFonts w:ascii="Times New Roman" w:eastAsia="仿宋_GB2312" w:hAnsi="Times New Roman"/>
          <w:sz w:val="32"/>
          <w:szCs w:val="32"/>
        </w:rPr>
        <w:t>128</w:t>
      </w:r>
      <w:r>
        <w:rPr>
          <w:rFonts w:ascii="Times New Roman" w:eastAsia="仿宋_GB2312" w:hAnsi="Times New Roman"/>
          <w:sz w:val="32"/>
          <w:szCs w:val="32"/>
        </w:rPr>
        <w:t>元征收。</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（三）服务业建设项目，综合配套费按照建筑面积每平方米</w:t>
      </w:r>
      <w:r>
        <w:rPr>
          <w:rFonts w:ascii="Times New Roman" w:eastAsia="仿宋_GB2312" w:hAnsi="Times New Roman"/>
          <w:sz w:val="32"/>
          <w:szCs w:val="32"/>
        </w:rPr>
        <w:t>128</w:t>
      </w:r>
      <w:r>
        <w:rPr>
          <w:rFonts w:ascii="Times New Roman" w:eastAsia="仿宋_GB2312" w:hAnsi="Times New Roman"/>
          <w:sz w:val="32"/>
          <w:szCs w:val="32"/>
        </w:rPr>
        <w:t>元征收。</w:t>
      </w:r>
    </w:p>
    <w:p w:rsidR="00B87C83" w:rsidRDefault="007120A4">
      <w:pPr>
        <w:spacing w:line="580" w:lineRule="exact"/>
        <w:ind w:firstLineChars="200" w:firstLine="640"/>
        <w:rPr>
          <w:rFonts w:ascii="Times New Roman" w:eastAsia="仿宋_GB2312" w:hAnsi="Times New Roman"/>
          <w:bCs/>
          <w:sz w:val="32"/>
          <w:szCs w:val="32"/>
        </w:rPr>
      </w:pPr>
      <w:r>
        <w:rPr>
          <w:rFonts w:ascii="Times New Roman" w:eastAsia="黑体" w:hAnsi="Times New Roman"/>
          <w:sz w:val="32"/>
          <w:szCs w:val="32"/>
        </w:rPr>
        <w:t>第六条</w:t>
      </w:r>
      <w:r>
        <w:rPr>
          <w:rFonts w:ascii="Times New Roman" w:eastAsia="仿宋_GB2312" w:hAnsi="Times New Roman"/>
          <w:sz w:val="32"/>
          <w:szCs w:val="32"/>
        </w:rPr>
        <w:t xml:space="preserve">  </w:t>
      </w:r>
      <w:r>
        <w:rPr>
          <w:rFonts w:ascii="Times New Roman" w:eastAsia="仿宋_GB2312" w:hAnsi="Times New Roman"/>
          <w:bCs/>
          <w:sz w:val="32"/>
          <w:szCs w:val="32"/>
        </w:rPr>
        <w:t>建设单位和个人应当在领取建筑工程施工许可证时缴纳或书面承诺在开工前足额缴纳城市基础设施配套费，凡未按照承诺及规定缴纳城市基础设施配套费的，不予以验放线，县行政审批服务局收回建筑工程施工许可证。</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第七条</w:t>
      </w:r>
      <w:r>
        <w:rPr>
          <w:rFonts w:ascii="Times New Roman" w:eastAsia="仿宋_GB2312" w:hAnsi="Times New Roman"/>
          <w:sz w:val="32"/>
          <w:szCs w:val="32"/>
        </w:rPr>
        <w:t xml:space="preserve">  </w:t>
      </w:r>
      <w:r>
        <w:rPr>
          <w:rFonts w:ascii="Times New Roman" w:eastAsia="仿宋_GB2312" w:hAnsi="Times New Roman"/>
          <w:sz w:val="32"/>
          <w:szCs w:val="32"/>
        </w:rPr>
        <w:t>县住房和城乡建设局征收城市基础设施配套费时，应当向缴款人开具省级财政部门统一印制（监制）的财政票据。</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建设单位和个人应当通过山东省非税收入征收管理系统，将城市基础设施配套费缴入县财政。</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第八条</w:t>
      </w:r>
      <w:r>
        <w:rPr>
          <w:rFonts w:ascii="Times New Roman" w:eastAsia="仿宋_GB2312" w:hAnsi="Times New Roman"/>
          <w:sz w:val="32"/>
          <w:szCs w:val="32"/>
        </w:rPr>
        <w:t xml:space="preserve">  </w:t>
      </w:r>
      <w:r>
        <w:rPr>
          <w:rFonts w:ascii="Times New Roman" w:eastAsia="仿宋_GB2312" w:hAnsi="Times New Roman"/>
          <w:sz w:val="32"/>
          <w:szCs w:val="32"/>
        </w:rPr>
        <w:t>建设项目非商业用途的地下室、地上储藏室、架空</w:t>
      </w:r>
      <w:r>
        <w:rPr>
          <w:rFonts w:ascii="Times New Roman" w:eastAsia="仿宋_GB2312" w:hAnsi="Times New Roman"/>
          <w:sz w:val="32"/>
          <w:szCs w:val="32"/>
        </w:rPr>
        <w:lastRenderedPageBreak/>
        <w:t>层和附属设施等，不缴纳综合配套费。</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建设项目不需要专业经营单位供水、供气、供热、供电的，不缴纳相应专项配套费。</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非住宅建设项目不宜以建筑面积计收供气专项配套的，不缴纳供气专项配套费，其供气配套设施建设费用由建设单位和个人与专业经营单位据实结算。</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第九条</w:t>
      </w:r>
      <w:r>
        <w:rPr>
          <w:rFonts w:ascii="Times New Roman" w:eastAsia="仿宋_GB2312" w:hAnsi="Times New Roman"/>
          <w:sz w:val="32"/>
          <w:szCs w:val="32"/>
        </w:rPr>
        <w:t xml:space="preserve">  </w:t>
      </w:r>
      <w:r>
        <w:rPr>
          <w:rFonts w:ascii="Times New Roman" w:eastAsia="仿宋_GB2312" w:hAnsi="Times New Roman"/>
          <w:sz w:val="32"/>
          <w:szCs w:val="32"/>
        </w:rPr>
        <w:t>超低能耗被动式建设项目、利用清洁能源方式采暖（包括地源热泵、水源热泵、电能、燃气炉和空气能等）的建设项目，不缴纳供热专项配套费。</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第十条</w:t>
      </w:r>
      <w:r>
        <w:rPr>
          <w:rFonts w:ascii="Times New Roman" w:eastAsia="仿宋_GB2312" w:hAnsi="Times New Roman"/>
          <w:sz w:val="32"/>
          <w:szCs w:val="32"/>
        </w:rPr>
        <w:t xml:space="preserve">  </w:t>
      </w:r>
      <w:r>
        <w:rPr>
          <w:rFonts w:ascii="Times New Roman" w:eastAsia="仿宋_GB2312" w:hAnsi="Times New Roman"/>
          <w:sz w:val="32"/>
          <w:szCs w:val="32"/>
        </w:rPr>
        <w:t>对于免缴综合配套费的建设项目应当按照国家、省、市有关规定执行。</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第十一条</w:t>
      </w:r>
      <w:r>
        <w:rPr>
          <w:rFonts w:ascii="Times New Roman" w:eastAsia="仿宋_GB2312" w:hAnsi="Times New Roman"/>
          <w:sz w:val="32"/>
          <w:szCs w:val="32"/>
        </w:rPr>
        <w:t xml:space="preserve">  </w:t>
      </w:r>
      <w:r>
        <w:rPr>
          <w:rFonts w:ascii="Times New Roman" w:eastAsia="仿宋_GB2312" w:hAnsi="Times New Roman"/>
          <w:sz w:val="32"/>
          <w:szCs w:val="32"/>
        </w:rPr>
        <w:t>已按照本办法规定享受城市基础设施配套费免缴政策的建设项目改变原批准用途的，必须按照本办法规定补缴城市基础设施配套费。</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第十二条</w:t>
      </w:r>
      <w:r>
        <w:rPr>
          <w:rFonts w:ascii="Times New Roman" w:eastAsia="仿宋_GB2312" w:hAnsi="Times New Roman"/>
          <w:sz w:val="32"/>
          <w:szCs w:val="32"/>
        </w:rPr>
        <w:t xml:space="preserve">  </w:t>
      </w:r>
      <w:r>
        <w:rPr>
          <w:rFonts w:ascii="Times New Roman" w:eastAsia="仿宋_GB2312" w:hAnsi="Times New Roman"/>
          <w:sz w:val="32"/>
          <w:szCs w:val="32"/>
        </w:rPr>
        <w:t>建设项目增加建筑面积的，建设单位和个人必须按照本办法规定补缴增加建筑面积的城市基础设施配套费。</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bCs/>
          <w:sz w:val="32"/>
          <w:szCs w:val="32"/>
        </w:rPr>
        <w:t>第十三条</w:t>
      </w:r>
      <w:r>
        <w:rPr>
          <w:rFonts w:ascii="Times New Roman" w:eastAsia="仿宋_GB2312" w:hAnsi="Times New Roman"/>
          <w:sz w:val="32"/>
          <w:szCs w:val="32"/>
        </w:rPr>
        <w:t xml:space="preserve">  </w:t>
      </w:r>
      <w:r>
        <w:rPr>
          <w:rFonts w:ascii="Times New Roman" w:eastAsia="仿宋_GB2312" w:hAnsi="Times New Roman"/>
          <w:sz w:val="32"/>
          <w:szCs w:val="32"/>
        </w:rPr>
        <w:t>城市基础设施配套费纳入县级财政预算，实行年度收支预算管理。</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专项配套费按照专款专用的原则，县住房和城乡建设局、县财政局建立专项配套费专项账户，全额用于建设项目红线外专项配套工程建设，不得挪用。</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第十四条</w:t>
      </w:r>
      <w:r>
        <w:rPr>
          <w:rFonts w:ascii="Times New Roman" w:eastAsia="仿宋_GB2312" w:hAnsi="Times New Roman"/>
          <w:sz w:val="32"/>
          <w:szCs w:val="32"/>
        </w:rPr>
        <w:t xml:space="preserve">  </w:t>
      </w:r>
      <w:r>
        <w:rPr>
          <w:rFonts w:ascii="Times New Roman" w:eastAsia="仿宋_GB2312" w:hAnsi="Times New Roman"/>
          <w:sz w:val="32"/>
          <w:szCs w:val="32"/>
        </w:rPr>
        <w:t>建设项目缴纳城市基础设施配套费后，县财政局应当按照下列规定向专业经营单位拨付专项配套费：</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（一）自收到专项配套费使用申请之日起</w:t>
      </w:r>
      <w:r>
        <w:rPr>
          <w:rFonts w:ascii="Times New Roman" w:eastAsia="仿宋_GB2312" w:hAnsi="Times New Roman"/>
          <w:sz w:val="32"/>
          <w:szCs w:val="32"/>
        </w:rPr>
        <w:t>20</w:t>
      </w:r>
      <w:r>
        <w:rPr>
          <w:rFonts w:ascii="Times New Roman" w:eastAsia="仿宋_GB2312" w:hAnsi="Times New Roman"/>
          <w:sz w:val="32"/>
          <w:szCs w:val="32"/>
        </w:rPr>
        <w:t>个工作日内，拨付已征收专项配套费的</w:t>
      </w:r>
      <w:r>
        <w:rPr>
          <w:rFonts w:ascii="Times New Roman" w:eastAsia="仿宋_GB2312" w:hAnsi="Times New Roman"/>
          <w:sz w:val="32"/>
          <w:szCs w:val="32"/>
        </w:rPr>
        <w:t>70%</w:t>
      </w:r>
      <w:r>
        <w:rPr>
          <w:rFonts w:ascii="Times New Roman" w:eastAsia="仿宋_GB2312" w:hAnsi="Times New Roman"/>
          <w:sz w:val="32"/>
          <w:szCs w:val="32"/>
        </w:rPr>
        <w:t>；</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（二）建设项目红线外供水、供气、供热、供电专项配套工程竣工验收合格，符合接入条件后，自收到专项配套费使用申请之日起</w:t>
      </w:r>
      <w:r>
        <w:rPr>
          <w:rFonts w:ascii="Times New Roman" w:eastAsia="仿宋_GB2312" w:hAnsi="Times New Roman"/>
          <w:sz w:val="32"/>
          <w:szCs w:val="32"/>
        </w:rPr>
        <w:t>20</w:t>
      </w:r>
      <w:r>
        <w:rPr>
          <w:rFonts w:ascii="Times New Roman" w:eastAsia="仿宋_GB2312" w:hAnsi="Times New Roman"/>
          <w:sz w:val="32"/>
          <w:szCs w:val="32"/>
        </w:rPr>
        <w:t>个工作日内，拨付已征收专项配套费的</w:t>
      </w:r>
      <w:r>
        <w:rPr>
          <w:rFonts w:ascii="Times New Roman" w:eastAsia="仿宋_GB2312" w:hAnsi="Times New Roman"/>
          <w:sz w:val="32"/>
          <w:szCs w:val="32"/>
        </w:rPr>
        <w:t>30%</w:t>
      </w:r>
      <w:r>
        <w:rPr>
          <w:rFonts w:ascii="Times New Roman" w:eastAsia="仿宋_GB2312" w:hAnsi="Times New Roman"/>
          <w:sz w:val="32"/>
          <w:szCs w:val="32"/>
        </w:rPr>
        <w:t>。</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第十五条</w:t>
      </w:r>
      <w:r>
        <w:rPr>
          <w:rFonts w:ascii="Times New Roman" w:eastAsia="仿宋_GB2312" w:hAnsi="Times New Roman"/>
          <w:sz w:val="32"/>
          <w:szCs w:val="32"/>
        </w:rPr>
        <w:t xml:space="preserve">  </w:t>
      </w:r>
      <w:r>
        <w:rPr>
          <w:rFonts w:ascii="Times New Roman" w:eastAsia="仿宋_GB2312" w:hAnsi="Times New Roman"/>
          <w:sz w:val="32"/>
          <w:szCs w:val="32"/>
        </w:rPr>
        <w:t>城市基础设施配套费征收、管理部门，专业经营单位应当建立联席会议制度，定期召开协调会议，研究解决城市基础设施配套费征收、使用、管理工作中的重大问题。</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bCs/>
          <w:sz w:val="32"/>
          <w:szCs w:val="32"/>
        </w:rPr>
        <w:t>第十六条</w:t>
      </w:r>
      <w:r>
        <w:rPr>
          <w:rFonts w:ascii="Times New Roman" w:eastAsia="仿宋_GB2312" w:hAnsi="Times New Roman"/>
          <w:sz w:val="32"/>
          <w:szCs w:val="32"/>
        </w:rPr>
        <w:t xml:space="preserve">  </w:t>
      </w:r>
      <w:r>
        <w:rPr>
          <w:rFonts w:ascii="Times New Roman" w:eastAsia="仿宋_GB2312" w:hAnsi="Times New Roman"/>
          <w:sz w:val="32"/>
          <w:szCs w:val="32"/>
        </w:rPr>
        <w:t>自本办法施行之日起，除本办法第八条第三款规定外，城区的专业经营单位不得向建设单位和个人另行收取红线外供水、供气、供热、供电及相关配套费用。</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设项目城市基础设施配套费和红线内供水、供气、供热、供电相关配套（含各类计量装置、分户控制系统）建设费用计入建设成本。房地产开发企业在商品房销售价格外，不得向购房者收取或者以任何名义变相收取供水、供气、供热、供电相关配套（开口）费用。</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bCs/>
          <w:sz w:val="32"/>
          <w:szCs w:val="32"/>
        </w:rPr>
        <w:t>第十七条</w:t>
      </w:r>
      <w:r>
        <w:rPr>
          <w:rFonts w:ascii="Times New Roman" w:eastAsia="仿宋_GB2312" w:hAnsi="Times New Roman"/>
          <w:sz w:val="32"/>
          <w:szCs w:val="32"/>
        </w:rPr>
        <w:t xml:space="preserve">  </w:t>
      </w:r>
      <w:r>
        <w:rPr>
          <w:rFonts w:ascii="Times New Roman" w:eastAsia="仿宋_GB2312" w:hAnsi="Times New Roman"/>
          <w:sz w:val="32"/>
          <w:szCs w:val="32"/>
        </w:rPr>
        <w:t>本办法自</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日起施行，有效期至</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2</w:t>
      </w:r>
      <w:r>
        <w:rPr>
          <w:rFonts w:ascii="Times New Roman" w:eastAsia="仿宋_GB2312" w:hAnsi="Times New Roman"/>
          <w:sz w:val="32"/>
          <w:szCs w:val="32"/>
        </w:rPr>
        <w:t>日。</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本办法施行前，已按照《汶上县城市基础设施配套费征收使用管理办法》（汶政发〔</w:t>
      </w:r>
      <w:r>
        <w:rPr>
          <w:rFonts w:ascii="Times New Roman" w:eastAsia="仿宋_GB2312" w:hAnsi="Times New Roman"/>
          <w:sz w:val="32"/>
          <w:szCs w:val="32"/>
        </w:rPr>
        <w:t>2018</w:t>
      </w: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号）规定缴纳城市基础设施配套费缴，但尚未完成资金拨付的，仍按照汶政发〔</w:t>
      </w:r>
      <w:r>
        <w:rPr>
          <w:rFonts w:ascii="Times New Roman" w:eastAsia="仿宋_GB2312" w:hAnsi="Times New Roman"/>
          <w:sz w:val="32"/>
          <w:szCs w:val="32"/>
        </w:rPr>
        <w:t>2018</w:t>
      </w: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号文件关于资金拨付的相关规定办理。</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自本办法施行之日起，凡未缴纳城市基础设施配套费的建设</w:t>
      </w:r>
      <w:r>
        <w:rPr>
          <w:rFonts w:ascii="Times New Roman" w:eastAsia="仿宋_GB2312" w:hAnsi="Times New Roman"/>
          <w:sz w:val="32"/>
          <w:szCs w:val="32"/>
        </w:rPr>
        <w:lastRenderedPageBreak/>
        <w:t>项目，均应当按照本办法规定缴纳城市基础设施配套费。</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自本办法施行之日起，《汶上县城市基础设施配套费征收使用管理办法》（汶政发〔</w:t>
      </w:r>
      <w:r>
        <w:rPr>
          <w:rFonts w:ascii="Times New Roman" w:eastAsia="仿宋_GB2312" w:hAnsi="Times New Roman"/>
          <w:sz w:val="32"/>
          <w:szCs w:val="32"/>
        </w:rPr>
        <w:t>2018</w:t>
      </w: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号）同时废止。</w:t>
      </w: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2018</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日前，建设单位或者个人自愿与专业经营单位签订建设项目专项配套工程建设合同的，按照合同约定执行。</w:t>
      </w:r>
    </w:p>
    <w:p w:rsidR="00B87C83" w:rsidRDefault="00B87C83">
      <w:pPr>
        <w:spacing w:line="580" w:lineRule="exact"/>
        <w:ind w:firstLineChars="200" w:firstLine="640"/>
        <w:rPr>
          <w:rFonts w:ascii="Times New Roman" w:eastAsia="仿宋_GB2312" w:hAnsi="Times New Roman"/>
          <w:sz w:val="32"/>
          <w:szCs w:val="32"/>
        </w:rPr>
      </w:pPr>
    </w:p>
    <w:p w:rsidR="00B87C83" w:rsidRDefault="007120A4">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附</w:t>
      </w:r>
      <w:r>
        <w:rPr>
          <w:rFonts w:ascii="Times New Roman" w:eastAsia="黑体" w:hAnsi="Times New Roman"/>
          <w:sz w:val="32"/>
          <w:szCs w:val="32"/>
        </w:rPr>
        <w:t xml:space="preserve">  </w:t>
      </w:r>
      <w:r>
        <w:rPr>
          <w:rFonts w:ascii="Times New Roman" w:eastAsia="黑体" w:hAnsi="Times New Roman"/>
          <w:sz w:val="32"/>
          <w:szCs w:val="32"/>
        </w:rPr>
        <w:t>件：</w:t>
      </w:r>
      <w:r>
        <w:rPr>
          <w:rFonts w:ascii="Times New Roman" w:eastAsia="仿宋_GB2312" w:hAnsi="Times New Roman"/>
          <w:sz w:val="32"/>
          <w:szCs w:val="32"/>
        </w:rPr>
        <w:t>汶上县城市基础设施配套费征收标准</w:t>
      </w:r>
    </w:p>
    <w:p w:rsidR="00B87C83" w:rsidRDefault="00B87C83">
      <w:pPr>
        <w:spacing w:line="600" w:lineRule="exact"/>
        <w:ind w:firstLineChars="200" w:firstLine="640"/>
        <w:jc w:val="left"/>
        <w:rPr>
          <w:rFonts w:ascii="Times New Roman" w:eastAsia="仿宋_GB2312" w:hAnsi="Times New Roman"/>
          <w:sz w:val="32"/>
          <w:szCs w:val="32"/>
        </w:rPr>
      </w:pPr>
    </w:p>
    <w:p w:rsidR="00B87C83" w:rsidRDefault="00B87C83">
      <w:pPr>
        <w:spacing w:line="600" w:lineRule="exact"/>
        <w:jc w:val="left"/>
        <w:rPr>
          <w:rFonts w:ascii="Times New Roman" w:eastAsia="方正黑体简体" w:hAnsi="Times New Roman"/>
          <w:strike/>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606696" w:rsidRDefault="00606696">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B87C83">
      <w:pPr>
        <w:spacing w:line="600" w:lineRule="exact"/>
        <w:jc w:val="left"/>
        <w:rPr>
          <w:rFonts w:ascii="Times New Roman" w:eastAsia="方正黑体简体" w:hAnsi="Times New Roman"/>
          <w:sz w:val="32"/>
          <w:szCs w:val="32"/>
        </w:rPr>
      </w:pPr>
    </w:p>
    <w:p w:rsidR="00B87C83" w:rsidRDefault="007120A4">
      <w:pPr>
        <w:spacing w:line="600" w:lineRule="exact"/>
        <w:jc w:val="left"/>
        <w:rPr>
          <w:rFonts w:ascii="Times New Roman" w:eastAsia="方正黑体简体" w:hAnsi="Times New Roman"/>
          <w:sz w:val="32"/>
          <w:szCs w:val="32"/>
        </w:rPr>
      </w:pPr>
      <w:r>
        <w:rPr>
          <w:rFonts w:ascii="Times New Roman" w:eastAsia="方正黑体简体" w:hAnsi="Times New Roman"/>
          <w:sz w:val="32"/>
          <w:szCs w:val="32"/>
        </w:rPr>
        <w:lastRenderedPageBreak/>
        <w:t>附件</w:t>
      </w:r>
    </w:p>
    <w:p w:rsidR="00B87C83" w:rsidRDefault="007120A4">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汶上县城市基础设施配套配征收标准</w:t>
      </w:r>
    </w:p>
    <w:p w:rsidR="00B87C83" w:rsidRDefault="00B87C83">
      <w:pPr>
        <w:spacing w:line="600" w:lineRule="exact"/>
        <w:jc w:val="center"/>
        <w:rPr>
          <w:rFonts w:ascii="Times New Roman" w:eastAsia="方正小标宋简体" w:hAnsi="Times New Roman"/>
          <w:sz w:val="44"/>
          <w:szCs w:val="44"/>
        </w:rPr>
      </w:pPr>
    </w:p>
    <w:tbl>
      <w:tblPr>
        <w:tblStyle w:val="a8"/>
        <w:tblW w:w="8835" w:type="dxa"/>
        <w:jc w:val="center"/>
        <w:tblInd w:w="-539" w:type="dxa"/>
        <w:tblLayout w:type="fixed"/>
        <w:tblLook w:val="04A0"/>
      </w:tblPr>
      <w:tblGrid>
        <w:gridCol w:w="2982"/>
        <w:gridCol w:w="3761"/>
        <w:gridCol w:w="2092"/>
      </w:tblGrid>
      <w:tr w:rsidR="00B87C83">
        <w:trPr>
          <w:trHeight w:val="744"/>
          <w:jc w:val="center"/>
        </w:trPr>
        <w:tc>
          <w:tcPr>
            <w:tcW w:w="2982" w:type="dxa"/>
            <w:vAlign w:val="center"/>
          </w:tcPr>
          <w:p w:rsidR="00B87C83" w:rsidRDefault="007120A4">
            <w:pPr>
              <w:spacing w:line="400" w:lineRule="exact"/>
              <w:jc w:val="center"/>
              <w:rPr>
                <w:rFonts w:ascii="Times New Roman" w:eastAsia="黑体" w:hAnsi="Times New Roman"/>
                <w:b/>
                <w:bCs/>
                <w:sz w:val="28"/>
              </w:rPr>
            </w:pPr>
            <w:r>
              <w:rPr>
                <w:rFonts w:ascii="Times New Roman" w:eastAsia="黑体" w:hAnsi="Times New Roman"/>
                <w:b/>
                <w:bCs/>
                <w:sz w:val="28"/>
              </w:rPr>
              <w:t>项</w:t>
            </w:r>
            <w:r>
              <w:rPr>
                <w:rFonts w:ascii="Times New Roman" w:eastAsia="黑体" w:hAnsi="Times New Roman"/>
                <w:b/>
                <w:bCs/>
                <w:sz w:val="28"/>
              </w:rPr>
              <w:t xml:space="preserve">  </w:t>
            </w:r>
            <w:r>
              <w:rPr>
                <w:rFonts w:ascii="Times New Roman" w:eastAsia="黑体" w:hAnsi="Times New Roman"/>
                <w:b/>
                <w:bCs/>
                <w:sz w:val="28"/>
              </w:rPr>
              <w:t>目</w:t>
            </w:r>
          </w:p>
        </w:tc>
        <w:tc>
          <w:tcPr>
            <w:tcW w:w="3761" w:type="dxa"/>
            <w:vAlign w:val="center"/>
          </w:tcPr>
          <w:p w:rsidR="00B87C83" w:rsidRDefault="007120A4">
            <w:pPr>
              <w:spacing w:line="400" w:lineRule="exact"/>
              <w:jc w:val="center"/>
              <w:rPr>
                <w:rFonts w:ascii="Times New Roman" w:eastAsia="黑体" w:hAnsi="Times New Roman"/>
                <w:b/>
                <w:bCs/>
                <w:sz w:val="28"/>
              </w:rPr>
            </w:pPr>
            <w:r>
              <w:rPr>
                <w:rFonts w:ascii="Times New Roman" w:eastAsia="黑体" w:hAnsi="Times New Roman"/>
                <w:b/>
                <w:bCs/>
                <w:sz w:val="28"/>
              </w:rPr>
              <w:t>红线外征收标准（元</w:t>
            </w:r>
            <w:r>
              <w:rPr>
                <w:rFonts w:ascii="Times New Roman" w:eastAsia="黑体" w:hAnsi="Times New Roman"/>
                <w:b/>
                <w:bCs/>
                <w:sz w:val="28"/>
              </w:rPr>
              <w:t>/</w:t>
            </w:r>
            <w:r>
              <w:rPr>
                <w:rFonts w:ascii="Times New Roman" w:eastAsia="黑体" w:hAnsi="Times New Roman"/>
                <w:b/>
                <w:bCs/>
                <w:sz w:val="28"/>
              </w:rPr>
              <w:t>平方米）</w:t>
            </w:r>
          </w:p>
        </w:tc>
        <w:tc>
          <w:tcPr>
            <w:tcW w:w="2092" w:type="dxa"/>
            <w:vAlign w:val="center"/>
          </w:tcPr>
          <w:p w:rsidR="00B87C83" w:rsidRDefault="007120A4">
            <w:pPr>
              <w:spacing w:line="400" w:lineRule="exact"/>
              <w:jc w:val="center"/>
              <w:rPr>
                <w:rFonts w:ascii="Times New Roman" w:eastAsia="黑体" w:hAnsi="Times New Roman"/>
                <w:b/>
                <w:bCs/>
                <w:sz w:val="28"/>
              </w:rPr>
            </w:pPr>
            <w:r>
              <w:rPr>
                <w:rFonts w:ascii="Times New Roman" w:eastAsia="黑体" w:hAnsi="Times New Roman"/>
                <w:b/>
                <w:bCs/>
                <w:sz w:val="28"/>
              </w:rPr>
              <w:t>备</w:t>
            </w:r>
            <w:r>
              <w:rPr>
                <w:rFonts w:ascii="Times New Roman" w:eastAsia="黑体" w:hAnsi="Times New Roman"/>
                <w:b/>
                <w:bCs/>
                <w:sz w:val="28"/>
              </w:rPr>
              <w:t xml:space="preserve">  </w:t>
            </w:r>
            <w:r>
              <w:rPr>
                <w:rFonts w:ascii="Times New Roman" w:eastAsia="黑体" w:hAnsi="Times New Roman"/>
                <w:b/>
                <w:bCs/>
                <w:sz w:val="28"/>
              </w:rPr>
              <w:t>注</w:t>
            </w:r>
          </w:p>
        </w:tc>
      </w:tr>
      <w:tr w:rsidR="00B87C83">
        <w:trPr>
          <w:trHeight w:val="587"/>
          <w:jc w:val="center"/>
        </w:trPr>
        <w:tc>
          <w:tcPr>
            <w:tcW w:w="2982" w:type="dxa"/>
            <w:vAlign w:val="center"/>
          </w:tcPr>
          <w:p w:rsidR="00B87C83" w:rsidRDefault="007120A4">
            <w:pPr>
              <w:spacing w:line="400" w:lineRule="exact"/>
              <w:jc w:val="center"/>
              <w:rPr>
                <w:rFonts w:ascii="Times New Roman" w:eastAsia="仿宋_GB2312" w:hAnsi="Times New Roman"/>
                <w:b/>
                <w:bCs/>
                <w:sz w:val="28"/>
                <w:szCs w:val="20"/>
              </w:rPr>
            </w:pPr>
            <w:r>
              <w:rPr>
                <w:rFonts w:ascii="Times New Roman" w:eastAsia="仿宋_GB2312" w:hAnsi="Times New Roman"/>
                <w:b/>
                <w:bCs/>
                <w:sz w:val="28"/>
                <w:szCs w:val="20"/>
              </w:rPr>
              <w:t>一、居住、公共建筑等民用项目</w:t>
            </w:r>
          </w:p>
        </w:tc>
        <w:tc>
          <w:tcPr>
            <w:tcW w:w="3761" w:type="dxa"/>
            <w:vAlign w:val="center"/>
          </w:tcPr>
          <w:p w:rsidR="00B87C83" w:rsidRDefault="007120A4">
            <w:pPr>
              <w:spacing w:line="400" w:lineRule="exact"/>
              <w:jc w:val="center"/>
              <w:rPr>
                <w:rFonts w:ascii="Times New Roman" w:eastAsia="仿宋" w:hAnsi="Times New Roman"/>
                <w:sz w:val="28"/>
                <w:szCs w:val="20"/>
              </w:rPr>
            </w:pPr>
            <w:r>
              <w:rPr>
                <w:rFonts w:ascii="Times New Roman" w:eastAsia="仿宋" w:hAnsi="Times New Roman"/>
                <w:sz w:val="28"/>
                <w:szCs w:val="20"/>
              </w:rPr>
              <w:t>199</w:t>
            </w:r>
          </w:p>
        </w:tc>
        <w:tc>
          <w:tcPr>
            <w:tcW w:w="2092" w:type="dxa"/>
            <w:vAlign w:val="center"/>
          </w:tcPr>
          <w:p w:rsidR="00B87C83" w:rsidRDefault="00B87C83">
            <w:pPr>
              <w:spacing w:line="400" w:lineRule="exact"/>
              <w:jc w:val="center"/>
              <w:rPr>
                <w:rFonts w:ascii="Times New Roman" w:eastAsia="黑体" w:hAnsi="Times New Roman"/>
                <w:b/>
                <w:bCs/>
                <w:sz w:val="28"/>
                <w:szCs w:val="20"/>
              </w:rPr>
            </w:pPr>
          </w:p>
        </w:tc>
      </w:tr>
      <w:tr w:rsidR="00B87C83">
        <w:trPr>
          <w:trHeight w:val="596"/>
          <w:jc w:val="center"/>
        </w:trPr>
        <w:tc>
          <w:tcPr>
            <w:tcW w:w="2982" w:type="dxa"/>
            <w:vAlign w:val="center"/>
          </w:tcPr>
          <w:p w:rsidR="00B87C83" w:rsidRDefault="007120A4">
            <w:pPr>
              <w:spacing w:line="400" w:lineRule="exact"/>
              <w:jc w:val="center"/>
              <w:rPr>
                <w:rFonts w:ascii="Times New Roman" w:eastAsia="仿宋_GB2312" w:hAnsi="Times New Roman"/>
                <w:b/>
                <w:bCs/>
                <w:sz w:val="28"/>
                <w:szCs w:val="20"/>
              </w:rPr>
            </w:pPr>
            <w:r>
              <w:rPr>
                <w:rFonts w:ascii="Times New Roman" w:eastAsia="仿宋_GB2312" w:hAnsi="Times New Roman"/>
                <w:b/>
                <w:bCs/>
                <w:sz w:val="28"/>
                <w:szCs w:val="20"/>
              </w:rPr>
              <w:t>（一）综合配套费</w:t>
            </w:r>
          </w:p>
        </w:tc>
        <w:tc>
          <w:tcPr>
            <w:tcW w:w="3761" w:type="dxa"/>
            <w:vAlign w:val="center"/>
          </w:tcPr>
          <w:p w:rsidR="00B87C83" w:rsidRDefault="007120A4">
            <w:pPr>
              <w:spacing w:line="400" w:lineRule="exact"/>
              <w:jc w:val="center"/>
              <w:rPr>
                <w:rFonts w:ascii="Times New Roman" w:eastAsia="仿宋" w:hAnsi="Times New Roman"/>
                <w:sz w:val="28"/>
                <w:szCs w:val="20"/>
              </w:rPr>
            </w:pPr>
            <w:r>
              <w:rPr>
                <w:rFonts w:ascii="Times New Roman" w:eastAsia="仿宋" w:hAnsi="Times New Roman"/>
                <w:sz w:val="28"/>
                <w:szCs w:val="20"/>
              </w:rPr>
              <w:t>128</w:t>
            </w:r>
          </w:p>
        </w:tc>
        <w:tc>
          <w:tcPr>
            <w:tcW w:w="2092" w:type="dxa"/>
            <w:vAlign w:val="center"/>
          </w:tcPr>
          <w:p w:rsidR="00B87C83" w:rsidRDefault="00B87C83">
            <w:pPr>
              <w:spacing w:line="400" w:lineRule="exact"/>
              <w:jc w:val="center"/>
              <w:rPr>
                <w:rFonts w:ascii="Times New Roman" w:eastAsia="黑体" w:hAnsi="Times New Roman"/>
                <w:b/>
                <w:bCs/>
                <w:sz w:val="28"/>
                <w:szCs w:val="20"/>
              </w:rPr>
            </w:pPr>
          </w:p>
        </w:tc>
      </w:tr>
      <w:tr w:rsidR="00B87C83">
        <w:trPr>
          <w:trHeight w:val="690"/>
          <w:jc w:val="center"/>
        </w:trPr>
        <w:tc>
          <w:tcPr>
            <w:tcW w:w="2982" w:type="dxa"/>
            <w:vAlign w:val="center"/>
          </w:tcPr>
          <w:p w:rsidR="00B87C83" w:rsidRDefault="007120A4">
            <w:pPr>
              <w:spacing w:line="400" w:lineRule="exact"/>
              <w:jc w:val="center"/>
              <w:rPr>
                <w:rFonts w:ascii="Times New Roman" w:eastAsia="仿宋_GB2312" w:hAnsi="Times New Roman"/>
                <w:b/>
                <w:bCs/>
                <w:sz w:val="28"/>
                <w:szCs w:val="20"/>
              </w:rPr>
            </w:pPr>
            <w:r>
              <w:rPr>
                <w:rFonts w:ascii="Times New Roman" w:eastAsia="仿宋_GB2312" w:hAnsi="Times New Roman"/>
                <w:b/>
                <w:bCs/>
                <w:sz w:val="28"/>
                <w:szCs w:val="20"/>
              </w:rPr>
              <w:t>（二）专项配套费</w:t>
            </w:r>
          </w:p>
        </w:tc>
        <w:tc>
          <w:tcPr>
            <w:tcW w:w="3761" w:type="dxa"/>
            <w:vAlign w:val="center"/>
          </w:tcPr>
          <w:p w:rsidR="00B87C83" w:rsidRDefault="007120A4">
            <w:pPr>
              <w:spacing w:line="400" w:lineRule="exact"/>
              <w:jc w:val="center"/>
              <w:rPr>
                <w:rFonts w:ascii="Times New Roman" w:eastAsia="仿宋" w:hAnsi="Times New Roman"/>
                <w:sz w:val="28"/>
                <w:szCs w:val="20"/>
              </w:rPr>
            </w:pPr>
            <w:r>
              <w:rPr>
                <w:rFonts w:ascii="Times New Roman" w:eastAsia="仿宋" w:hAnsi="Times New Roman"/>
                <w:sz w:val="28"/>
                <w:szCs w:val="20"/>
              </w:rPr>
              <w:t>71</w:t>
            </w:r>
          </w:p>
        </w:tc>
        <w:tc>
          <w:tcPr>
            <w:tcW w:w="2092" w:type="dxa"/>
            <w:vAlign w:val="center"/>
          </w:tcPr>
          <w:p w:rsidR="00B87C83" w:rsidRDefault="00B87C83">
            <w:pPr>
              <w:spacing w:line="400" w:lineRule="exact"/>
              <w:jc w:val="center"/>
              <w:rPr>
                <w:rFonts w:ascii="Times New Roman" w:eastAsia="黑体" w:hAnsi="Times New Roman"/>
                <w:b/>
                <w:bCs/>
                <w:sz w:val="28"/>
                <w:szCs w:val="20"/>
              </w:rPr>
            </w:pPr>
          </w:p>
        </w:tc>
      </w:tr>
      <w:tr w:rsidR="00B87C83">
        <w:trPr>
          <w:trHeight w:val="572"/>
          <w:jc w:val="center"/>
        </w:trPr>
        <w:tc>
          <w:tcPr>
            <w:tcW w:w="2982" w:type="dxa"/>
            <w:vAlign w:val="center"/>
          </w:tcPr>
          <w:p w:rsidR="00B87C83" w:rsidRDefault="007120A4">
            <w:pPr>
              <w:spacing w:line="400" w:lineRule="exact"/>
              <w:jc w:val="center"/>
              <w:rPr>
                <w:rFonts w:ascii="Times New Roman" w:eastAsia="仿宋_GB2312" w:hAnsi="Times New Roman"/>
                <w:b/>
                <w:bCs/>
                <w:sz w:val="28"/>
                <w:szCs w:val="20"/>
              </w:rPr>
            </w:pPr>
            <w:r>
              <w:rPr>
                <w:rFonts w:ascii="Times New Roman" w:eastAsia="仿宋_GB2312" w:hAnsi="Times New Roman"/>
                <w:b/>
                <w:bCs/>
                <w:sz w:val="28"/>
                <w:szCs w:val="20"/>
              </w:rPr>
              <w:t>其中：</w:t>
            </w:r>
            <w:r>
              <w:rPr>
                <w:rFonts w:ascii="Times New Roman" w:eastAsia="仿宋_GB2312" w:hAnsi="Times New Roman"/>
                <w:b/>
                <w:bCs/>
                <w:sz w:val="28"/>
                <w:szCs w:val="20"/>
              </w:rPr>
              <w:t xml:space="preserve">1. </w:t>
            </w:r>
            <w:r>
              <w:rPr>
                <w:rFonts w:ascii="Times New Roman" w:eastAsia="仿宋_GB2312" w:hAnsi="Times New Roman"/>
                <w:b/>
                <w:bCs/>
                <w:sz w:val="28"/>
                <w:szCs w:val="20"/>
              </w:rPr>
              <w:t>供水</w:t>
            </w:r>
          </w:p>
        </w:tc>
        <w:tc>
          <w:tcPr>
            <w:tcW w:w="3761" w:type="dxa"/>
            <w:vAlign w:val="center"/>
          </w:tcPr>
          <w:p w:rsidR="00B87C83" w:rsidRDefault="007120A4">
            <w:pPr>
              <w:spacing w:line="400" w:lineRule="exact"/>
              <w:jc w:val="center"/>
              <w:rPr>
                <w:rFonts w:ascii="Times New Roman" w:eastAsia="仿宋" w:hAnsi="Times New Roman"/>
                <w:sz w:val="28"/>
                <w:szCs w:val="20"/>
              </w:rPr>
            </w:pPr>
            <w:r>
              <w:rPr>
                <w:rFonts w:ascii="Times New Roman" w:eastAsia="仿宋" w:hAnsi="Times New Roman"/>
                <w:sz w:val="28"/>
                <w:szCs w:val="20"/>
              </w:rPr>
              <w:t>11</w:t>
            </w:r>
          </w:p>
        </w:tc>
        <w:tc>
          <w:tcPr>
            <w:tcW w:w="2092" w:type="dxa"/>
            <w:vAlign w:val="center"/>
          </w:tcPr>
          <w:p w:rsidR="00B87C83" w:rsidRDefault="00B87C83">
            <w:pPr>
              <w:spacing w:line="400" w:lineRule="exact"/>
              <w:jc w:val="center"/>
              <w:rPr>
                <w:rFonts w:ascii="Times New Roman" w:eastAsia="黑体" w:hAnsi="Times New Roman"/>
                <w:b/>
                <w:bCs/>
                <w:sz w:val="28"/>
                <w:szCs w:val="20"/>
              </w:rPr>
            </w:pPr>
          </w:p>
        </w:tc>
      </w:tr>
      <w:tr w:rsidR="00B87C83">
        <w:trPr>
          <w:trHeight w:val="607"/>
          <w:jc w:val="center"/>
        </w:trPr>
        <w:tc>
          <w:tcPr>
            <w:tcW w:w="2982" w:type="dxa"/>
            <w:vAlign w:val="center"/>
          </w:tcPr>
          <w:p w:rsidR="00B87C83" w:rsidRDefault="007120A4">
            <w:pPr>
              <w:spacing w:line="400" w:lineRule="exact"/>
              <w:ind w:firstLineChars="300" w:firstLine="843"/>
              <w:rPr>
                <w:rFonts w:ascii="Times New Roman" w:eastAsia="仿宋_GB2312" w:hAnsi="Times New Roman"/>
                <w:b/>
                <w:bCs/>
                <w:sz w:val="28"/>
                <w:szCs w:val="20"/>
              </w:rPr>
            </w:pPr>
            <w:r>
              <w:rPr>
                <w:rFonts w:ascii="Times New Roman" w:eastAsia="仿宋_GB2312" w:hAnsi="Times New Roman"/>
                <w:b/>
                <w:bCs/>
                <w:sz w:val="28"/>
                <w:szCs w:val="20"/>
              </w:rPr>
              <w:t xml:space="preserve">2. </w:t>
            </w:r>
            <w:r>
              <w:rPr>
                <w:rFonts w:ascii="Times New Roman" w:eastAsia="仿宋_GB2312" w:hAnsi="Times New Roman"/>
                <w:b/>
                <w:bCs/>
                <w:sz w:val="28"/>
                <w:szCs w:val="20"/>
              </w:rPr>
              <w:t>供气</w:t>
            </w:r>
          </w:p>
        </w:tc>
        <w:tc>
          <w:tcPr>
            <w:tcW w:w="3761" w:type="dxa"/>
            <w:vAlign w:val="center"/>
          </w:tcPr>
          <w:p w:rsidR="00B87C83" w:rsidRDefault="007120A4">
            <w:pPr>
              <w:spacing w:line="400" w:lineRule="exact"/>
              <w:jc w:val="center"/>
              <w:rPr>
                <w:rFonts w:ascii="Times New Roman" w:eastAsia="仿宋" w:hAnsi="Times New Roman"/>
                <w:sz w:val="28"/>
                <w:szCs w:val="20"/>
              </w:rPr>
            </w:pPr>
            <w:r>
              <w:rPr>
                <w:rFonts w:ascii="Times New Roman" w:eastAsia="仿宋" w:hAnsi="Times New Roman"/>
                <w:sz w:val="28"/>
                <w:szCs w:val="20"/>
              </w:rPr>
              <w:t>8</w:t>
            </w:r>
          </w:p>
        </w:tc>
        <w:tc>
          <w:tcPr>
            <w:tcW w:w="2092" w:type="dxa"/>
            <w:vAlign w:val="center"/>
          </w:tcPr>
          <w:p w:rsidR="00B87C83" w:rsidRDefault="00B87C83">
            <w:pPr>
              <w:spacing w:line="400" w:lineRule="exact"/>
              <w:jc w:val="left"/>
              <w:rPr>
                <w:rFonts w:ascii="Times New Roman" w:eastAsia="黑体" w:hAnsi="Times New Roman"/>
                <w:b/>
                <w:bCs/>
                <w:strike/>
                <w:sz w:val="28"/>
                <w:szCs w:val="20"/>
              </w:rPr>
            </w:pPr>
          </w:p>
        </w:tc>
      </w:tr>
      <w:tr w:rsidR="00B87C83">
        <w:trPr>
          <w:trHeight w:val="646"/>
          <w:jc w:val="center"/>
        </w:trPr>
        <w:tc>
          <w:tcPr>
            <w:tcW w:w="2982" w:type="dxa"/>
            <w:vAlign w:val="center"/>
          </w:tcPr>
          <w:p w:rsidR="00B87C83" w:rsidRDefault="007120A4">
            <w:pPr>
              <w:spacing w:line="400" w:lineRule="exact"/>
              <w:ind w:firstLineChars="300" w:firstLine="843"/>
              <w:rPr>
                <w:rFonts w:ascii="Times New Roman" w:eastAsia="仿宋_GB2312" w:hAnsi="Times New Roman"/>
                <w:b/>
                <w:bCs/>
                <w:sz w:val="28"/>
                <w:szCs w:val="20"/>
              </w:rPr>
            </w:pPr>
            <w:r>
              <w:rPr>
                <w:rFonts w:ascii="Times New Roman" w:eastAsia="仿宋_GB2312" w:hAnsi="Times New Roman"/>
                <w:b/>
                <w:bCs/>
                <w:sz w:val="28"/>
                <w:szCs w:val="20"/>
              </w:rPr>
              <w:t xml:space="preserve">3. </w:t>
            </w:r>
            <w:r>
              <w:rPr>
                <w:rFonts w:ascii="Times New Roman" w:eastAsia="仿宋_GB2312" w:hAnsi="Times New Roman"/>
                <w:b/>
                <w:bCs/>
                <w:sz w:val="28"/>
                <w:szCs w:val="20"/>
              </w:rPr>
              <w:t>供热</w:t>
            </w:r>
          </w:p>
        </w:tc>
        <w:tc>
          <w:tcPr>
            <w:tcW w:w="3761" w:type="dxa"/>
            <w:vAlign w:val="center"/>
          </w:tcPr>
          <w:p w:rsidR="00B87C83" w:rsidRDefault="007120A4">
            <w:pPr>
              <w:spacing w:line="400" w:lineRule="exact"/>
              <w:jc w:val="center"/>
              <w:rPr>
                <w:rFonts w:ascii="Times New Roman" w:eastAsia="仿宋" w:hAnsi="Times New Roman"/>
                <w:sz w:val="28"/>
                <w:szCs w:val="20"/>
              </w:rPr>
            </w:pPr>
            <w:r>
              <w:rPr>
                <w:rFonts w:ascii="Times New Roman" w:eastAsia="仿宋" w:hAnsi="Times New Roman"/>
                <w:sz w:val="28"/>
                <w:szCs w:val="20"/>
              </w:rPr>
              <w:t>38</w:t>
            </w:r>
          </w:p>
        </w:tc>
        <w:tc>
          <w:tcPr>
            <w:tcW w:w="2092" w:type="dxa"/>
            <w:vAlign w:val="center"/>
          </w:tcPr>
          <w:p w:rsidR="00B87C83" w:rsidRDefault="00B87C83">
            <w:pPr>
              <w:spacing w:line="400" w:lineRule="exact"/>
              <w:jc w:val="left"/>
              <w:rPr>
                <w:rFonts w:ascii="Times New Roman" w:eastAsia="黑体" w:hAnsi="Times New Roman"/>
                <w:b/>
                <w:bCs/>
                <w:strike/>
                <w:sz w:val="28"/>
                <w:szCs w:val="21"/>
              </w:rPr>
            </w:pPr>
          </w:p>
        </w:tc>
      </w:tr>
      <w:tr w:rsidR="00B87C83">
        <w:trPr>
          <w:trHeight w:val="695"/>
          <w:jc w:val="center"/>
        </w:trPr>
        <w:tc>
          <w:tcPr>
            <w:tcW w:w="2982" w:type="dxa"/>
            <w:vAlign w:val="center"/>
          </w:tcPr>
          <w:p w:rsidR="00B87C83" w:rsidRDefault="007120A4">
            <w:pPr>
              <w:spacing w:line="400" w:lineRule="exact"/>
              <w:ind w:firstLineChars="300" w:firstLine="843"/>
              <w:rPr>
                <w:rFonts w:ascii="Times New Roman" w:eastAsia="仿宋_GB2312" w:hAnsi="Times New Roman"/>
                <w:b/>
                <w:bCs/>
                <w:sz w:val="28"/>
                <w:szCs w:val="20"/>
              </w:rPr>
            </w:pPr>
            <w:r>
              <w:rPr>
                <w:rFonts w:ascii="Times New Roman" w:eastAsia="仿宋_GB2312" w:hAnsi="Times New Roman"/>
                <w:b/>
                <w:bCs/>
                <w:sz w:val="28"/>
                <w:szCs w:val="20"/>
              </w:rPr>
              <w:t xml:space="preserve">4. </w:t>
            </w:r>
            <w:r>
              <w:rPr>
                <w:rFonts w:ascii="Times New Roman" w:eastAsia="仿宋_GB2312" w:hAnsi="Times New Roman"/>
                <w:b/>
                <w:bCs/>
                <w:sz w:val="28"/>
                <w:szCs w:val="20"/>
              </w:rPr>
              <w:t>供电</w:t>
            </w:r>
          </w:p>
        </w:tc>
        <w:tc>
          <w:tcPr>
            <w:tcW w:w="3761" w:type="dxa"/>
            <w:vAlign w:val="center"/>
          </w:tcPr>
          <w:p w:rsidR="00B87C83" w:rsidRDefault="007120A4">
            <w:pPr>
              <w:spacing w:line="400" w:lineRule="exact"/>
              <w:jc w:val="center"/>
              <w:rPr>
                <w:rFonts w:ascii="Times New Roman" w:eastAsia="仿宋" w:hAnsi="Times New Roman"/>
                <w:sz w:val="28"/>
                <w:szCs w:val="20"/>
              </w:rPr>
            </w:pPr>
            <w:r>
              <w:rPr>
                <w:rFonts w:ascii="Times New Roman" w:eastAsia="仿宋" w:hAnsi="Times New Roman"/>
                <w:sz w:val="28"/>
                <w:szCs w:val="20"/>
              </w:rPr>
              <w:t>14</w:t>
            </w:r>
          </w:p>
        </w:tc>
        <w:tc>
          <w:tcPr>
            <w:tcW w:w="2092" w:type="dxa"/>
            <w:vAlign w:val="center"/>
          </w:tcPr>
          <w:p w:rsidR="00B87C83" w:rsidRDefault="007120A4">
            <w:pPr>
              <w:spacing w:line="400" w:lineRule="exact"/>
              <w:jc w:val="left"/>
              <w:rPr>
                <w:rFonts w:ascii="Times New Roman" w:eastAsia="仿宋_GB2312" w:hAnsi="Times New Roman"/>
                <w:bCs/>
                <w:sz w:val="28"/>
                <w:szCs w:val="20"/>
              </w:rPr>
            </w:pPr>
            <w:r>
              <w:rPr>
                <w:rFonts w:ascii="Times New Roman" w:eastAsia="仿宋_GB2312" w:hAnsi="Times New Roman"/>
                <w:bCs/>
                <w:sz w:val="28"/>
                <w:szCs w:val="20"/>
              </w:rPr>
              <w:t>含高层双电源</w:t>
            </w:r>
          </w:p>
        </w:tc>
      </w:tr>
      <w:tr w:rsidR="00B87C83">
        <w:trPr>
          <w:trHeight w:val="694"/>
          <w:jc w:val="center"/>
        </w:trPr>
        <w:tc>
          <w:tcPr>
            <w:tcW w:w="2982" w:type="dxa"/>
            <w:vAlign w:val="center"/>
          </w:tcPr>
          <w:p w:rsidR="00B87C83" w:rsidRDefault="007120A4">
            <w:pPr>
              <w:spacing w:line="400" w:lineRule="exact"/>
              <w:rPr>
                <w:rFonts w:ascii="Times New Roman" w:eastAsia="仿宋_GB2312" w:hAnsi="Times New Roman"/>
                <w:b/>
                <w:bCs/>
                <w:sz w:val="28"/>
                <w:szCs w:val="20"/>
              </w:rPr>
            </w:pPr>
            <w:r>
              <w:rPr>
                <w:rFonts w:ascii="Times New Roman" w:eastAsia="仿宋_GB2312" w:hAnsi="Times New Roman"/>
                <w:b/>
                <w:bCs/>
                <w:sz w:val="28"/>
                <w:szCs w:val="20"/>
              </w:rPr>
              <w:t>二、工业企业建设项目</w:t>
            </w:r>
          </w:p>
        </w:tc>
        <w:tc>
          <w:tcPr>
            <w:tcW w:w="3761" w:type="dxa"/>
            <w:vAlign w:val="center"/>
          </w:tcPr>
          <w:p w:rsidR="00B87C83" w:rsidRDefault="00B87C83">
            <w:pPr>
              <w:spacing w:line="400" w:lineRule="exact"/>
              <w:jc w:val="center"/>
              <w:rPr>
                <w:rFonts w:ascii="Times New Roman" w:eastAsia="仿宋" w:hAnsi="Times New Roman"/>
                <w:sz w:val="28"/>
                <w:szCs w:val="20"/>
              </w:rPr>
            </w:pPr>
          </w:p>
        </w:tc>
        <w:tc>
          <w:tcPr>
            <w:tcW w:w="2092" w:type="dxa"/>
            <w:vAlign w:val="center"/>
          </w:tcPr>
          <w:p w:rsidR="00B87C83" w:rsidRDefault="00B87C83">
            <w:pPr>
              <w:spacing w:line="400" w:lineRule="exact"/>
              <w:jc w:val="center"/>
              <w:rPr>
                <w:rFonts w:ascii="Times New Roman" w:eastAsia="黑体" w:hAnsi="Times New Roman"/>
                <w:b/>
                <w:bCs/>
                <w:sz w:val="28"/>
                <w:szCs w:val="20"/>
              </w:rPr>
            </w:pPr>
          </w:p>
        </w:tc>
      </w:tr>
      <w:tr w:rsidR="00B87C83">
        <w:trPr>
          <w:trHeight w:val="704"/>
          <w:jc w:val="center"/>
        </w:trPr>
        <w:tc>
          <w:tcPr>
            <w:tcW w:w="2982" w:type="dxa"/>
            <w:vAlign w:val="center"/>
          </w:tcPr>
          <w:p w:rsidR="00B87C83" w:rsidRDefault="007120A4">
            <w:pPr>
              <w:spacing w:line="400" w:lineRule="exact"/>
              <w:jc w:val="center"/>
              <w:rPr>
                <w:rFonts w:ascii="Times New Roman" w:eastAsia="仿宋_GB2312" w:hAnsi="Times New Roman"/>
                <w:b/>
                <w:bCs/>
                <w:sz w:val="28"/>
                <w:szCs w:val="20"/>
              </w:rPr>
            </w:pPr>
            <w:r>
              <w:rPr>
                <w:rFonts w:ascii="Times New Roman" w:eastAsia="仿宋_GB2312" w:hAnsi="Times New Roman"/>
                <w:b/>
                <w:bCs/>
                <w:sz w:val="28"/>
                <w:szCs w:val="20"/>
              </w:rPr>
              <w:t>综合配套费</w:t>
            </w:r>
          </w:p>
        </w:tc>
        <w:tc>
          <w:tcPr>
            <w:tcW w:w="3761" w:type="dxa"/>
            <w:vAlign w:val="center"/>
          </w:tcPr>
          <w:p w:rsidR="00B87C83" w:rsidRDefault="00B87C83">
            <w:pPr>
              <w:spacing w:line="400" w:lineRule="exact"/>
              <w:jc w:val="center"/>
              <w:rPr>
                <w:rFonts w:ascii="Times New Roman" w:eastAsia="仿宋" w:hAnsi="Times New Roman"/>
                <w:sz w:val="28"/>
                <w:szCs w:val="20"/>
              </w:rPr>
            </w:pPr>
          </w:p>
        </w:tc>
        <w:tc>
          <w:tcPr>
            <w:tcW w:w="2092" w:type="dxa"/>
            <w:vAlign w:val="center"/>
          </w:tcPr>
          <w:p w:rsidR="00B87C83" w:rsidRDefault="00B87C83">
            <w:pPr>
              <w:spacing w:line="400" w:lineRule="exact"/>
              <w:jc w:val="center"/>
              <w:rPr>
                <w:rFonts w:ascii="Times New Roman" w:eastAsia="黑体" w:hAnsi="Times New Roman"/>
                <w:b/>
                <w:bCs/>
                <w:sz w:val="28"/>
                <w:szCs w:val="20"/>
              </w:rPr>
            </w:pPr>
          </w:p>
        </w:tc>
      </w:tr>
      <w:tr w:rsidR="00B87C83">
        <w:trPr>
          <w:trHeight w:val="452"/>
          <w:jc w:val="center"/>
        </w:trPr>
        <w:tc>
          <w:tcPr>
            <w:tcW w:w="2982" w:type="dxa"/>
            <w:vAlign w:val="center"/>
          </w:tcPr>
          <w:p w:rsidR="00B87C83" w:rsidRDefault="007120A4">
            <w:pPr>
              <w:spacing w:line="400" w:lineRule="exact"/>
              <w:jc w:val="center"/>
              <w:rPr>
                <w:rFonts w:ascii="Times New Roman" w:eastAsia="仿宋_GB2312" w:hAnsi="Times New Roman"/>
                <w:b/>
                <w:bCs/>
                <w:sz w:val="28"/>
                <w:szCs w:val="20"/>
              </w:rPr>
            </w:pPr>
            <w:r>
              <w:rPr>
                <w:rFonts w:ascii="Times New Roman" w:eastAsia="仿宋_GB2312" w:hAnsi="Times New Roman"/>
                <w:b/>
                <w:bCs/>
                <w:sz w:val="28"/>
                <w:szCs w:val="20"/>
              </w:rPr>
              <w:t>其中：</w:t>
            </w:r>
            <w:r>
              <w:rPr>
                <w:rFonts w:ascii="Times New Roman" w:eastAsia="仿宋_GB2312" w:hAnsi="Times New Roman"/>
                <w:b/>
                <w:bCs/>
                <w:sz w:val="28"/>
                <w:szCs w:val="20"/>
              </w:rPr>
              <w:t xml:space="preserve">1. </w:t>
            </w:r>
            <w:r>
              <w:rPr>
                <w:rFonts w:ascii="Times New Roman" w:eastAsia="仿宋_GB2312" w:hAnsi="Times New Roman"/>
                <w:b/>
                <w:bCs/>
                <w:sz w:val="28"/>
                <w:szCs w:val="20"/>
              </w:rPr>
              <w:t>生产经营性综合配套费</w:t>
            </w:r>
          </w:p>
        </w:tc>
        <w:tc>
          <w:tcPr>
            <w:tcW w:w="3761" w:type="dxa"/>
            <w:vAlign w:val="center"/>
          </w:tcPr>
          <w:p w:rsidR="00B87C83" w:rsidRDefault="007120A4">
            <w:pPr>
              <w:spacing w:line="400" w:lineRule="exact"/>
              <w:jc w:val="center"/>
              <w:rPr>
                <w:rFonts w:ascii="Times New Roman" w:eastAsia="仿宋" w:hAnsi="Times New Roman"/>
                <w:sz w:val="28"/>
                <w:szCs w:val="20"/>
              </w:rPr>
            </w:pPr>
            <w:r>
              <w:rPr>
                <w:rFonts w:ascii="Times New Roman" w:eastAsia="仿宋" w:hAnsi="Times New Roman"/>
                <w:sz w:val="28"/>
                <w:szCs w:val="20"/>
              </w:rPr>
              <w:t>73</w:t>
            </w:r>
          </w:p>
        </w:tc>
        <w:tc>
          <w:tcPr>
            <w:tcW w:w="2092" w:type="dxa"/>
            <w:vAlign w:val="center"/>
          </w:tcPr>
          <w:p w:rsidR="00B87C83" w:rsidRDefault="00B87C83">
            <w:pPr>
              <w:spacing w:line="400" w:lineRule="exact"/>
              <w:jc w:val="center"/>
              <w:rPr>
                <w:rFonts w:ascii="Times New Roman" w:eastAsia="黑体" w:hAnsi="Times New Roman"/>
                <w:b/>
                <w:bCs/>
                <w:sz w:val="28"/>
                <w:szCs w:val="20"/>
              </w:rPr>
            </w:pPr>
          </w:p>
        </w:tc>
      </w:tr>
      <w:tr w:rsidR="00B87C83">
        <w:trPr>
          <w:trHeight w:val="437"/>
          <w:jc w:val="center"/>
        </w:trPr>
        <w:tc>
          <w:tcPr>
            <w:tcW w:w="2982" w:type="dxa"/>
            <w:vAlign w:val="center"/>
          </w:tcPr>
          <w:p w:rsidR="00B87C83" w:rsidRDefault="007120A4">
            <w:pPr>
              <w:spacing w:line="400" w:lineRule="exact"/>
              <w:jc w:val="center"/>
              <w:rPr>
                <w:rFonts w:ascii="Times New Roman" w:eastAsia="仿宋_GB2312" w:hAnsi="Times New Roman"/>
                <w:b/>
                <w:bCs/>
                <w:sz w:val="28"/>
                <w:szCs w:val="20"/>
              </w:rPr>
            </w:pPr>
            <w:r>
              <w:rPr>
                <w:rFonts w:ascii="Times New Roman" w:eastAsia="仿宋_GB2312" w:hAnsi="Times New Roman"/>
                <w:b/>
                <w:bCs/>
                <w:sz w:val="28"/>
                <w:szCs w:val="20"/>
              </w:rPr>
              <w:t xml:space="preserve">2. </w:t>
            </w:r>
            <w:r>
              <w:rPr>
                <w:rFonts w:ascii="Times New Roman" w:eastAsia="仿宋_GB2312" w:hAnsi="Times New Roman"/>
                <w:b/>
                <w:bCs/>
                <w:sz w:val="28"/>
                <w:szCs w:val="20"/>
              </w:rPr>
              <w:t>非生产经营性综合配套费</w:t>
            </w:r>
          </w:p>
        </w:tc>
        <w:tc>
          <w:tcPr>
            <w:tcW w:w="3761" w:type="dxa"/>
            <w:vAlign w:val="center"/>
          </w:tcPr>
          <w:p w:rsidR="00B87C83" w:rsidRDefault="007120A4">
            <w:pPr>
              <w:spacing w:line="400" w:lineRule="exact"/>
              <w:jc w:val="center"/>
              <w:rPr>
                <w:rFonts w:ascii="Times New Roman" w:eastAsia="仿宋" w:hAnsi="Times New Roman"/>
                <w:sz w:val="28"/>
                <w:szCs w:val="20"/>
              </w:rPr>
            </w:pPr>
            <w:r>
              <w:rPr>
                <w:rFonts w:ascii="Times New Roman" w:eastAsia="仿宋" w:hAnsi="Times New Roman"/>
                <w:sz w:val="28"/>
                <w:szCs w:val="20"/>
              </w:rPr>
              <w:t>128</w:t>
            </w:r>
          </w:p>
        </w:tc>
        <w:tc>
          <w:tcPr>
            <w:tcW w:w="2092" w:type="dxa"/>
            <w:vAlign w:val="center"/>
          </w:tcPr>
          <w:p w:rsidR="00B87C83" w:rsidRDefault="00B87C83">
            <w:pPr>
              <w:spacing w:line="400" w:lineRule="exact"/>
              <w:jc w:val="center"/>
              <w:rPr>
                <w:rFonts w:ascii="Times New Roman" w:eastAsia="黑体" w:hAnsi="Times New Roman"/>
                <w:b/>
                <w:bCs/>
                <w:sz w:val="28"/>
                <w:szCs w:val="20"/>
              </w:rPr>
            </w:pPr>
          </w:p>
        </w:tc>
      </w:tr>
      <w:tr w:rsidR="00B87C83">
        <w:trPr>
          <w:trHeight w:val="592"/>
          <w:jc w:val="center"/>
        </w:trPr>
        <w:tc>
          <w:tcPr>
            <w:tcW w:w="2982" w:type="dxa"/>
            <w:vAlign w:val="center"/>
          </w:tcPr>
          <w:p w:rsidR="00B87C83" w:rsidRDefault="007120A4">
            <w:pPr>
              <w:spacing w:line="400" w:lineRule="exact"/>
              <w:jc w:val="center"/>
              <w:rPr>
                <w:rFonts w:ascii="Times New Roman" w:eastAsia="仿宋_GB2312" w:hAnsi="Times New Roman"/>
                <w:b/>
                <w:bCs/>
                <w:sz w:val="28"/>
                <w:szCs w:val="20"/>
              </w:rPr>
            </w:pPr>
            <w:r>
              <w:rPr>
                <w:rFonts w:ascii="Times New Roman" w:eastAsia="仿宋_GB2312" w:hAnsi="Times New Roman"/>
                <w:b/>
                <w:bCs/>
                <w:sz w:val="28"/>
                <w:szCs w:val="20"/>
              </w:rPr>
              <w:t>三、服务业建设项目</w:t>
            </w:r>
          </w:p>
        </w:tc>
        <w:tc>
          <w:tcPr>
            <w:tcW w:w="3761" w:type="dxa"/>
            <w:vAlign w:val="center"/>
          </w:tcPr>
          <w:p w:rsidR="00B87C83" w:rsidRDefault="00B87C83">
            <w:pPr>
              <w:spacing w:line="400" w:lineRule="exact"/>
              <w:jc w:val="center"/>
              <w:rPr>
                <w:rFonts w:ascii="Times New Roman" w:eastAsia="仿宋" w:hAnsi="Times New Roman"/>
                <w:sz w:val="28"/>
                <w:szCs w:val="20"/>
              </w:rPr>
            </w:pPr>
          </w:p>
        </w:tc>
        <w:tc>
          <w:tcPr>
            <w:tcW w:w="2092" w:type="dxa"/>
            <w:vAlign w:val="center"/>
          </w:tcPr>
          <w:p w:rsidR="00B87C83" w:rsidRDefault="00B87C83">
            <w:pPr>
              <w:spacing w:line="400" w:lineRule="exact"/>
              <w:jc w:val="left"/>
              <w:rPr>
                <w:rFonts w:ascii="Times New Roman" w:eastAsia="黑体" w:hAnsi="Times New Roman"/>
                <w:b/>
                <w:bCs/>
                <w:strike/>
                <w:sz w:val="28"/>
                <w:szCs w:val="20"/>
              </w:rPr>
            </w:pPr>
          </w:p>
        </w:tc>
      </w:tr>
      <w:tr w:rsidR="00B87C83">
        <w:trPr>
          <w:trHeight w:val="669"/>
          <w:jc w:val="center"/>
        </w:trPr>
        <w:tc>
          <w:tcPr>
            <w:tcW w:w="2982" w:type="dxa"/>
            <w:vAlign w:val="center"/>
          </w:tcPr>
          <w:p w:rsidR="00B87C83" w:rsidRDefault="007120A4">
            <w:pPr>
              <w:spacing w:line="400" w:lineRule="exact"/>
              <w:jc w:val="center"/>
              <w:rPr>
                <w:rFonts w:ascii="Times New Roman" w:eastAsia="仿宋_GB2312" w:hAnsi="Times New Roman"/>
                <w:b/>
                <w:bCs/>
                <w:sz w:val="28"/>
                <w:szCs w:val="20"/>
              </w:rPr>
            </w:pPr>
            <w:r>
              <w:rPr>
                <w:rFonts w:ascii="Times New Roman" w:eastAsia="仿宋_GB2312" w:hAnsi="Times New Roman"/>
                <w:b/>
                <w:bCs/>
                <w:sz w:val="28"/>
                <w:szCs w:val="20"/>
              </w:rPr>
              <w:t>综合配套费</w:t>
            </w:r>
          </w:p>
        </w:tc>
        <w:tc>
          <w:tcPr>
            <w:tcW w:w="3761" w:type="dxa"/>
            <w:vAlign w:val="center"/>
          </w:tcPr>
          <w:p w:rsidR="00B87C83" w:rsidRDefault="007120A4">
            <w:pPr>
              <w:spacing w:line="400" w:lineRule="exact"/>
              <w:jc w:val="center"/>
              <w:rPr>
                <w:rFonts w:ascii="Times New Roman" w:eastAsia="仿宋" w:hAnsi="Times New Roman"/>
                <w:sz w:val="28"/>
                <w:szCs w:val="20"/>
              </w:rPr>
            </w:pPr>
            <w:r>
              <w:rPr>
                <w:rFonts w:ascii="Times New Roman" w:eastAsia="仿宋" w:hAnsi="Times New Roman"/>
                <w:sz w:val="28"/>
                <w:szCs w:val="20"/>
              </w:rPr>
              <w:t>128</w:t>
            </w:r>
          </w:p>
        </w:tc>
        <w:tc>
          <w:tcPr>
            <w:tcW w:w="2092" w:type="dxa"/>
            <w:vAlign w:val="center"/>
          </w:tcPr>
          <w:p w:rsidR="00B87C83" w:rsidRDefault="00B87C83">
            <w:pPr>
              <w:spacing w:line="400" w:lineRule="exact"/>
              <w:jc w:val="left"/>
              <w:rPr>
                <w:rFonts w:ascii="Times New Roman" w:eastAsia="黑体" w:hAnsi="Times New Roman"/>
                <w:b/>
                <w:bCs/>
                <w:strike/>
                <w:sz w:val="28"/>
                <w:szCs w:val="20"/>
              </w:rPr>
            </w:pPr>
          </w:p>
        </w:tc>
      </w:tr>
    </w:tbl>
    <w:p w:rsidR="00B87C83" w:rsidRDefault="00B87C83">
      <w:pPr>
        <w:spacing w:line="600" w:lineRule="exact"/>
        <w:rPr>
          <w:rFonts w:ascii="Times New Roman" w:eastAsia="仿宋_GB2312" w:hAnsi="Times New Roman"/>
          <w:sz w:val="32"/>
          <w:szCs w:val="32"/>
        </w:rPr>
      </w:pPr>
    </w:p>
    <w:p w:rsidR="00B87C83" w:rsidRDefault="00B87C83">
      <w:pPr>
        <w:spacing w:line="600" w:lineRule="exact"/>
        <w:rPr>
          <w:rFonts w:ascii="Times New Roman" w:eastAsia="仿宋_GB2312" w:hAnsi="Times New Roman"/>
          <w:sz w:val="32"/>
          <w:szCs w:val="32"/>
        </w:rPr>
      </w:pPr>
    </w:p>
    <w:p w:rsidR="00B87C83" w:rsidRDefault="00B87C83">
      <w:pPr>
        <w:spacing w:line="580" w:lineRule="exact"/>
        <w:ind w:firstLineChars="200" w:firstLine="640"/>
        <w:rPr>
          <w:rFonts w:ascii="Times New Roman" w:eastAsia="仿宋_GB2312" w:hAnsi="Times New Roman"/>
          <w:sz w:val="32"/>
          <w:szCs w:val="32"/>
        </w:rPr>
      </w:pPr>
    </w:p>
    <w:sectPr w:rsidR="00B87C83" w:rsidSect="00B87C83">
      <w:footerReference w:type="even" r:id="rId7"/>
      <w:footerReference w:type="default" r:id="rId8"/>
      <w:pgSz w:w="11906" w:h="16838"/>
      <w:pgMar w:top="1587" w:right="1474" w:bottom="1587" w:left="147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BD3" w:rsidRDefault="00D91BD3" w:rsidP="00B87C83">
      <w:r>
        <w:separator/>
      </w:r>
    </w:p>
  </w:endnote>
  <w:endnote w:type="continuationSeparator" w:id="0">
    <w:p w:rsidR="00D91BD3" w:rsidRDefault="00D91BD3" w:rsidP="00B87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C83" w:rsidRDefault="00CA04E2">
    <w:pPr>
      <w:pStyle w:val="a5"/>
      <w:framePr w:wrap="around" w:vAnchor="text" w:hAnchor="margin" w:xAlign="outside" w:y="1"/>
      <w:rPr>
        <w:rStyle w:val="a9"/>
      </w:rPr>
    </w:pPr>
    <w:r>
      <w:fldChar w:fldCharType="begin"/>
    </w:r>
    <w:r w:rsidR="007120A4">
      <w:rPr>
        <w:rStyle w:val="a9"/>
      </w:rPr>
      <w:instrText xml:space="preserve">PAGE  </w:instrText>
    </w:r>
    <w:r>
      <w:fldChar w:fldCharType="end"/>
    </w:r>
  </w:p>
  <w:p w:rsidR="00B87C83" w:rsidRDefault="00B87C83">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C83" w:rsidRDefault="00CA04E2">
    <w:pPr>
      <w:pStyle w:val="a5"/>
      <w:framePr w:wrap="around" w:vAnchor="text" w:hAnchor="margin" w:xAlign="outside" w:y="1"/>
      <w:rPr>
        <w:rStyle w:val="a9"/>
        <w:rFonts w:ascii="Times New Roman" w:hAnsi="Times New Roman"/>
        <w:sz w:val="24"/>
        <w:szCs w:val="24"/>
      </w:rPr>
    </w:pPr>
    <w:r>
      <w:rPr>
        <w:rFonts w:asciiTheme="minorEastAsia" w:eastAsiaTheme="minorEastAsia" w:hAnsiTheme="minorEastAsia" w:cstheme="minorEastAsia" w:hint="eastAsia"/>
        <w:sz w:val="28"/>
        <w:szCs w:val="28"/>
      </w:rPr>
      <w:fldChar w:fldCharType="begin"/>
    </w:r>
    <w:r w:rsidR="007120A4">
      <w:rPr>
        <w:rStyle w:val="a9"/>
        <w:rFonts w:asciiTheme="minorEastAsia" w:eastAsiaTheme="minorEastAsia" w:hAnsiTheme="minorEastAsia" w:cstheme="minorEastAsia" w:hint="eastAsia"/>
        <w:sz w:val="28"/>
        <w:szCs w:val="28"/>
      </w:rPr>
      <w:instrText xml:space="preserve">PAGE  </w:instrText>
    </w:r>
    <w:r>
      <w:rPr>
        <w:rFonts w:asciiTheme="minorEastAsia" w:eastAsiaTheme="minorEastAsia" w:hAnsiTheme="minorEastAsia" w:cstheme="minorEastAsia" w:hint="eastAsia"/>
        <w:sz w:val="28"/>
        <w:szCs w:val="28"/>
      </w:rPr>
      <w:fldChar w:fldCharType="separate"/>
    </w:r>
    <w:r w:rsidR="007725A9">
      <w:rPr>
        <w:rStyle w:val="a9"/>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p w:rsidR="00B87C83" w:rsidRDefault="00B87C83">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BD3" w:rsidRDefault="00D91BD3" w:rsidP="00B87C83">
      <w:r>
        <w:separator/>
      </w:r>
    </w:p>
  </w:footnote>
  <w:footnote w:type="continuationSeparator" w:id="0">
    <w:p w:rsidR="00D91BD3" w:rsidRDefault="00D91BD3" w:rsidP="00B87C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47E"/>
    <w:rsid w:val="00003B01"/>
    <w:rsid w:val="0001090E"/>
    <w:rsid w:val="000201E6"/>
    <w:rsid w:val="00031977"/>
    <w:rsid w:val="00032D93"/>
    <w:rsid w:val="00034021"/>
    <w:rsid w:val="0003610F"/>
    <w:rsid w:val="00043694"/>
    <w:rsid w:val="00050E4B"/>
    <w:rsid w:val="0005135F"/>
    <w:rsid w:val="000532FF"/>
    <w:rsid w:val="00053B05"/>
    <w:rsid w:val="0006251C"/>
    <w:rsid w:val="00063FF2"/>
    <w:rsid w:val="000665C9"/>
    <w:rsid w:val="00070776"/>
    <w:rsid w:val="00093CA5"/>
    <w:rsid w:val="000B7B5A"/>
    <w:rsid w:val="000D1A06"/>
    <w:rsid w:val="000D65A4"/>
    <w:rsid w:val="000E4E86"/>
    <w:rsid w:val="000F0988"/>
    <w:rsid w:val="000F6BAA"/>
    <w:rsid w:val="000F79FA"/>
    <w:rsid w:val="001067C1"/>
    <w:rsid w:val="00110755"/>
    <w:rsid w:val="0011250C"/>
    <w:rsid w:val="00114664"/>
    <w:rsid w:val="001240C2"/>
    <w:rsid w:val="00133BE2"/>
    <w:rsid w:val="0014360A"/>
    <w:rsid w:val="0016384D"/>
    <w:rsid w:val="001656B7"/>
    <w:rsid w:val="00170071"/>
    <w:rsid w:val="00171D85"/>
    <w:rsid w:val="001A2379"/>
    <w:rsid w:val="001C48B2"/>
    <w:rsid w:val="001D615F"/>
    <w:rsid w:val="001D6CC9"/>
    <w:rsid w:val="001E6BC4"/>
    <w:rsid w:val="001F33A1"/>
    <w:rsid w:val="002301EC"/>
    <w:rsid w:val="00241190"/>
    <w:rsid w:val="0024491E"/>
    <w:rsid w:val="00256921"/>
    <w:rsid w:val="00260F64"/>
    <w:rsid w:val="0026218D"/>
    <w:rsid w:val="00274594"/>
    <w:rsid w:val="0027775B"/>
    <w:rsid w:val="00277D77"/>
    <w:rsid w:val="002819DB"/>
    <w:rsid w:val="00283261"/>
    <w:rsid w:val="00294F9C"/>
    <w:rsid w:val="0029626D"/>
    <w:rsid w:val="00296B0A"/>
    <w:rsid w:val="002A03C0"/>
    <w:rsid w:val="002B4968"/>
    <w:rsid w:val="002D0908"/>
    <w:rsid w:val="002D7AA4"/>
    <w:rsid w:val="002D7C01"/>
    <w:rsid w:val="002E3F4B"/>
    <w:rsid w:val="00306549"/>
    <w:rsid w:val="003108EC"/>
    <w:rsid w:val="00320FDC"/>
    <w:rsid w:val="00322C18"/>
    <w:rsid w:val="00324BEE"/>
    <w:rsid w:val="0034316F"/>
    <w:rsid w:val="0035345A"/>
    <w:rsid w:val="00383E80"/>
    <w:rsid w:val="00386DA9"/>
    <w:rsid w:val="00391C8B"/>
    <w:rsid w:val="00393E5E"/>
    <w:rsid w:val="003B148A"/>
    <w:rsid w:val="003B4E16"/>
    <w:rsid w:val="003B6D64"/>
    <w:rsid w:val="003C74C6"/>
    <w:rsid w:val="003E2994"/>
    <w:rsid w:val="003E43A6"/>
    <w:rsid w:val="003E741B"/>
    <w:rsid w:val="00400078"/>
    <w:rsid w:val="0040746A"/>
    <w:rsid w:val="00414CD6"/>
    <w:rsid w:val="00425A07"/>
    <w:rsid w:val="004310ED"/>
    <w:rsid w:val="00434C98"/>
    <w:rsid w:val="0044698D"/>
    <w:rsid w:val="004509C4"/>
    <w:rsid w:val="00457A5C"/>
    <w:rsid w:val="00463887"/>
    <w:rsid w:val="00474717"/>
    <w:rsid w:val="00476004"/>
    <w:rsid w:val="0048194A"/>
    <w:rsid w:val="004919B7"/>
    <w:rsid w:val="004940B0"/>
    <w:rsid w:val="004A232F"/>
    <w:rsid w:val="004A6D02"/>
    <w:rsid w:val="004B3DF4"/>
    <w:rsid w:val="004B4A42"/>
    <w:rsid w:val="004C1358"/>
    <w:rsid w:val="004C51CC"/>
    <w:rsid w:val="004D4FCF"/>
    <w:rsid w:val="004F3DEB"/>
    <w:rsid w:val="0050636F"/>
    <w:rsid w:val="00507499"/>
    <w:rsid w:val="0051679F"/>
    <w:rsid w:val="0052215B"/>
    <w:rsid w:val="00523234"/>
    <w:rsid w:val="00535AF1"/>
    <w:rsid w:val="00541C00"/>
    <w:rsid w:val="00543BB5"/>
    <w:rsid w:val="00544A21"/>
    <w:rsid w:val="005469D1"/>
    <w:rsid w:val="00546E8E"/>
    <w:rsid w:val="005476F5"/>
    <w:rsid w:val="00563D85"/>
    <w:rsid w:val="0057519A"/>
    <w:rsid w:val="00584696"/>
    <w:rsid w:val="00595B6A"/>
    <w:rsid w:val="00597EF2"/>
    <w:rsid w:val="005A4147"/>
    <w:rsid w:val="005B67D1"/>
    <w:rsid w:val="005C259B"/>
    <w:rsid w:val="005C30D4"/>
    <w:rsid w:val="005C51EF"/>
    <w:rsid w:val="005D4989"/>
    <w:rsid w:val="005E4BD1"/>
    <w:rsid w:val="005E5A60"/>
    <w:rsid w:val="005F35C2"/>
    <w:rsid w:val="00600645"/>
    <w:rsid w:val="00601EFB"/>
    <w:rsid w:val="00606696"/>
    <w:rsid w:val="00613145"/>
    <w:rsid w:val="00615C8F"/>
    <w:rsid w:val="00620BEC"/>
    <w:rsid w:val="00630917"/>
    <w:rsid w:val="0063125D"/>
    <w:rsid w:val="00632AAD"/>
    <w:rsid w:val="00633003"/>
    <w:rsid w:val="006339C9"/>
    <w:rsid w:val="0063659A"/>
    <w:rsid w:val="00637BFF"/>
    <w:rsid w:val="00644C3B"/>
    <w:rsid w:val="00646069"/>
    <w:rsid w:val="00662EC7"/>
    <w:rsid w:val="00665092"/>
    <w:rsid w:val="00670F51"/>
    <w:rsid w:val="00672854"/>
    <w:rsid w:val="006828FD"/>
    <w:rsid w:val="006A3060"/>
    <w:rsid w:val="006A794B"/>
    <w:rsid w:val="006C1616"/>
    <w:rsid w:val="006C34E4"/>
    <w:rsid w:val="006C5233"/>
    <w:rsid w:val="00701F04"/>
    <w:rsid w:val="007120A4"/>
    <w:rsid w:val="00715427"/>
    <w:rsid w:val="00717C5A"/>
    <w:rsid w:val="00721E57"/>
    <w:rsid w:val="00724576"/>
    <w:rsid w:val="00724BEC"/>
    <w:rsid w:val="007326FF"/>
    <w:rsid w:val="00735643"/>
    <w:rsid w:val="00744118"/>
    <w:rsid w:val="00752E44"/>
    <w:rsid w:val="007607E3"/>
    <w:rsid w:val="007711B5"/>
    <w:rsid w:val="007725A9"/>
    <w:rsid w:val="00775F7F"/>
    <w:rsid w:val="00790CBA"/>
    <w:rsid w:val="00794F2D"/>
    <w:rsid w:val="007B7FF9"/>
    <w:rsid w:val="007D2448"/>
    <w:rsid w:val="007D4E40"/>
    <w:rsid w:val="007E01C9"/>
    <w:rsid w:val="007F357B"/>
    <w:rsid w:val="007F4D45"/>
    <w:rsid w:val="007F5210"/>
    <w:rsid w:val="00814476"/>
    <w:rsid w:val="00830BAE"/>
    <w:rsid w:val="00831B19"/>
    <w:rsid w:val="00832254"/>
    <w:rsid w:val="00835CB6"/>
    <w:rsid w:val="00840335"/>
    <w:rsid w:val="008406A4"/>
    <w:rsid w:val="0088547B"/>
    <w:rsid w:val="008931FC"/>
    <w:rsid w:val="008B0746"/>
    <w:rsid w:val="008B42E4"/>
    <w:rsid w:val="008B5E6C"/>
    <w:rsid w:val="008B68AB"/>
    <w:rsid w:val="008D0219"/>
    <w:rsid w:val="008D21D4"/>
    <w:rsid w:val="008E52AC"/>
    <w:rsid w:val="008F5AF1"/>
    <w:rsid w:val="009032A3"/>
    <w:rsid w:val="009055A2"/>
    <w:rsid w:val="009120E9"/>
    <w:rsid w:val="00915264"/>
    <w:rsid w:val="009155E0"/>
    <w:rsid w:val="00923111"/>
    <w:rsid w:val="0092554D"/>
    <w:rsid w:val="00932A77"/>
    <w:rsid w:val="00950627"/>
    <w:rsid w:val="00954560"/>
    <w:rsid w:val="009559F7"/>
    <w:rsid w:val="00955A81"/>
    <w:rsid w:val="009563B5"/>
    <w:rsid w:val="00957FA1"/>
    <w:rsid w:val="00961114"/>
    <w:rsid w:val="0096607F"/>
    <w:rsid w:val="009714EB"/>
    <w:rsid w:val="00971F8B"/>
    <w:rsid w:val="009855D3"/>
    <w:rsid w:val="00992F4D"/>
    <w:rsid w:val="00994C60"/>
    <w:rsid w:val="009966AD"/>
    <w:rsid w:val="009A53E3"/>
    <w:rsid w:val="009A6D50"/>
    <w:rsid w:val="009B27C2"/>
    <w:rsid w:val="009B5359"/>
    <w:rsid w:val="009C2472"/>
    <w:rsid w:val="009D242B"/>
    <w:rsid w:val="009D4163"/>
    <w:rsid w:val="009D48D9"/>
    <w:rsid w:val="00A0435E"/>
    <w:rsid w:val="00A17FC4"/>
    <w:rsid w:val="00A27EEA"/>
    <w:rsid w:val="00A37145"/>
    <w:rsid w:val="00A46881"/>
    <w:rsid w:val="00A52695"/>
    <w:rsid w:val="00A66BAB"/>
    <w:rsid w:val="00A70F6D"/>
    <w:rsid w:val="00A72D64"/>
    <w:rsid w:val="00A757BB"/>
    <w:rsid w:val="00A81190"/>
    <w:rsid w:val="00A83208"/>
    <w:rsid w:val="00A86FA8"/>
    <w:rsid w:val="00A91043"/>
    <w:rsid w:val="00AA44FD"/>
    <w:rsid w:val="00AD6236"/>
    <w:rsid w:val="00AE4563"/>
    <w:rsid w:val="00AF659D"/>
    <w:rsid w:val="00B033E0"/>
    <w:rsid w:val="00B0470E"/>
    <w:rsid w:val="00B14E80"/>
    <w:rsid w:val="00B2523D"/>
    <w:rsid w:val="00B34A5B"/>
    <w:rsid w:val="00B40845"/>
    <w:rsid w:val="00B46972"/>
    <w:rsid w:val="00B54FF9"/>
    <w:rsid w:val="00B755D9"/>
    <w:rsid w:val="00B87C83"/>
    <w:rsid w:val="00BA0250"/>
    <w:rsid w:val="00BA4088"/>
    <w:rsid w:val="00BB6C65"/>
    <w:rsid w:val="00BE14C6"/>
    <w:rsid w:val="00BF246B"/>
    <w:rsid w:val="00BF45FF"/>
    <w:rsid w:val="00C133B2"/>
    <w:rsid w:val="00C16BCA"/>
    <w:rsid w:val="00C2223C"/>
    <w:rsid w:val="00C37263"/>
    <w:rsid w:val="00C403AB"/>
    <w:rsid w:val="00C45EDC"/>
    <w:rsid w:val="00C530C6"/>
    <w:rsid w:val="00C57CCB"/>
    <w:rsid w:val="00C61F64"/>
    <w:rsid w:val="00C879E0"/>
    <w:rsid w:val="00C948EA"/>
    <w:rsid w:val="00C969B3"/>
    <w:rsid w:val="00CA04D5"/>
    <w:rsid w:val="00CA04E2"/>
    <w:rsid w:val="00CA370D"/>
    <w:rsid w:val="00CA3D60"/>
    <w:rsid w:val="00CA6B4E"/>
    <w:rsid w:val="00CB5036"/>
    <w:rsid w:val="00CC36C4"/>
    <w:rsid w:val="00CD56F3"/>
    <w:rsid w:val="00CD7080"/>
    <w:rsid w:val="00CE2831"/>
    <w:rsid w:val="00CE61F3"/>
    <w:rsid w:val="00CF33F4"/>
    <w:rsid w:val="00D01E1D"/>
    <w:rsid w:val="00D2705F"/>
    <w:rsid w:val="00D31A6A"/>
    <w:rsid w:val="00D336B8"/>
    <w:rsid w:val="00D448B7"/>
    <w:rsid w:val="00D45D2D"/>
    <w:rsid w:val="00D66EFE"/>
    <w:rsid w:val="00D71D55"/>
    <w:rsid w:val="00D73BEC"/>
    <w:rsid w:val="00D83441"/>
    <w:rsid w:val="00D865FF"/>
    <w:rsid w:val="00D91BD3"/>
    <w:rsid w:val="00D91E99"/>
    <w:rsid w:val="00D92CCE"/>
    <w:rsid w:val="00DA63D5"/>
    <w:rsid w:val="00DB0646"/>
    <w:rsid w:val="00DB2428"/>
    <w:rsid w:val="00DB339A"/>
    <w:rsid w:val="00DC7C1A"/>
    <w:rsid w:val="00DD2736"/>
    <w:rsid w:val="00DD497C"/>
    <w:rsid w:val="00DE21F4"/>
    <w:rsid w:val="00DF119A"/>
    <w:rsid w:val="00DF3D86"/>
    <w:rsid w:val="00E00BCF"/>
    <w:rsid w:val="00E0333C"/>
    <w:rsid w:val="00E037E3"/>
    <w:rsid w:val="00E25BE0"/>
    <w:rsid w:val="00E25FCF"/>
    <w:rsid w:val="00E420D4"/>
    <w:rsid w:val="00E46F7D"/>
    <w:rsid w:val="00E54BA6"/>
    <w:rsid w:val="00E5689C"/>
    <w:rsid w:val="00E7747E"/>
    <w:rsid w:val="00E8012B"/>
    <w:rsid w:val="00E80E94"/>
    <w:rsid w:val="00E91D89"/>
    <w:rsid w:val="00EA18C4"/>
    <w:rsid w:val="00EA48EB"/>
    <w:rsid w:val="00EC7022"/>
    <w:rsid w:val="00EF288B"/>
    <w:rsid w:val="00F016C4"/>
    <w:rsid w:val="00F0797A"/>
    <w:rsid w:val="00F203DC"/>
    <w:rsid w:val="00F25C5C"/>
    <w:rsid w:val="00F26042"/>
    <w:rsid w:val="00F276F9"/>
    <w:rsid w:val="00F30A2E"/>
    <w:rsid w:val="00F316D6"/>
    <w:rsid w:val="00F405C6"/>
    <w:rsid w:val="00F573B6"/>
    <w:rsid w:val="00F57940"/>
    <w:rsid w:val="00F634DD"/>
    <w:rsid w:val="00F7415E"/>
    <w:rsid w:val="00F85C57"/>
    <w:rsid w:val="00F87FE9"/>
    <w:rsid w:val="00F9291A"/>
    <w:rsid w:val="00FA20F1"/>
    <w:rsid w:val="00FB0BA1"/>
    <w:rsid w:val="00FB30D9"/>
    <w:rsid w:val="00FB6D66"/>
    <w:rsid w:val="00FB7F96"/>
    <w:rsid w:val="00FC1284"/>
    <w:rsid w:val="00FC232C"/>
    <w:rsid w:val="00FD752F"/>
    <w:rsid w:val="00FE1213"/>
    <w:rsid w:val="00FE1EAC"/>
    <w:rsid w:val="00FE272B"/>
    <w:rsid w:val="00FE31BA"/>
    <w:rsid w:val="00FF1CF0"/>
    <w:rsid w:val="28726874"/>
    <w:rsid w:val="3BF11AD8"/>
    <w:rsid w:val="3E2C4E56"/>
    <w:rsid w:val="5945041C"/>
    <w:rsid w:val="59F32434"/>
    <w:rsid w:val="5BE16490"/>
    <w:rsid w:val="5C7852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Subtitle" w:locked="1" w:qFormat="1"/>
    <w:lsdException w:name="Strong" w:locked="1" w:qFormat="1"/>
    <w:lsdException w:name="Emphasis" w:locked="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7C8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B87C83"/>
    <w:pPr>
      <w:spacing w:line="360" w:lineRule="auto"/>
      <w:ind w:left="105" w:firstLineChars="200" w:hanging="304"/>
    </w:pPr>
    <w:rPr>
      <w:rFonts w:ascii="宋体" w:hAnsi="Courier New"/>
      <w:szCs w:val="20"/>
    </w:rPr>
  </w:style>
  <w:style w:type="paragraph" w:styleId="a4">
    <w:name w:val="Balloon Text"/>
    <w:basedOn w:val="a"/>
    <w:semiHidden/>
    <w:qFormat/>
    <w:rsid w:val="00B87C83"/>
    <w:rPr>
      <w:sz w:val="18"/>
      <w:szCs w:val="18"/>
    </w:rPr>
  </w:style>
  <w:style w:type="paragraph" w:styleId="a5">
    <w:name w:val="footer"/>
    <w:basedOn w:val="a"/>
    <w:qFormat/>
    <w:rsid w:val="00B87C83"/>
    <w:pPr>
      <w:tabs>
        <w:tab w:val="center" w:pos="4153"/>
        <w:tab w:val="right" w:pos="8306"/>
      </w:tabs>
      <w:snapToGrid w:val="0"/>
      <w:jc w:val="left"/>
    </w:pPr>
    <w:rPr>
      <w:sz w:val="18"/>
      <w:szCs w:val="18"/>
    </w:rPr>
  </w:style>
  <w:style w:type="paragraph" w:styleId="a6">
    <w:name w:val="header"/>
    <w:basedOn w:val="a"/>
    <w:link w:val="Char0"/>
    <w:qFormat/>
    <w:rsid w:val="00B87C83"/>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87C83"/>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rsid w:val="00B87C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qFormat/>
    <w:rsid w:val="00B87C83"/>
    <w:rPr>
      <w:rFonts w:cs="Times New Roman"/>
    </w:rPr>
  </w:style>
  <w:style w:type="character" w:customStyle="1" w:styleId="Char">
    <w:name w:val="纯文本 Char"/>
    <w:link w:val="a3"/>
    <w:qFormat/>
    <w:locked/>
    <w:rsid w:val="00B87C83"/>
    <w:rPr>
      <w:rFonts w:ascii="宋体" w:eastAsia="宋体" w:hAnsi="Courier New"/>
      <w:kern w:val="2"/>
      <w:sz w:val="21"/>
      <w:lang w:val="en-US" w:eastAsia="zh-CN"/>
    </w:rPr>
  </w:style>
  <w:style w:type="character" w:customStyle="1" w:styleId="Char0">
    <w:name w:val="页眉 Char"/>
    <w:link w:val="a6"/>
    <w:qFormat/>
    <w:locked/>
    <w:rsid w:val="00B87C83"/>
    <w:rPr>
      <w:rFonts w:ascii="Calibri" w:hAnsi="Calibri" w:cs="Times New Roman"/>
      <w:kern w:val="2"/>
      <w:sz w:val="18"/>
      <w:szCs w:val="18"/>
    </w:rPr>
  </w:style>
  <w:style w:type="paragraph" w:customStyle="1" w:styleId="1">
    <w:name w:val="列出段落1"/>
    <w:basedOn w:val="a"/>
    <w:qFormat/>
    <w:rsid w:val="00B87C83"/>
    <w:pPr>
      <w:spacing w:line="360" w:lineRule="auto"/>
      <w:ind w:firstLineChars="200" w:firstLine="420"/>
    </w:pPr>
    <w:rPr>
      <w:sz w:val="24"/>
      <w:szCs w:val="21"/>
    </w:rPr>
  </w:style>
  <w:style w:type="paragraph" w:customStyle="1" w:styleId="2">
    <w:name w:val="列出段落2"/>
    <w:basedOn w:val="a"/>
    <w:qFormat/>
    <w:rsid w:val="00B87C8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373</Words>
  <Characters>2129</Characters>
  <Application>Microsoft Office Word</Application>
  <DocSecurity>0</DocSecurity>
  <Lines>17</Lines>
  <Paragraphs>4</Paragraphs>
  <ScaleCrop>false</ScaleCrop>
  <Company>信念技术论坛</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cp:revision>
  <cp:lastPrinted>2019-10-13T02:20:00Z</cp:lastPrinted>
  <dcterms:created xsi:type="dcterms:W3CDTF">2019-10-11T02:00:00Z</dcterms:created>
  <dcterms:modified xsi:type="dcterms:W3CDTF">2019-10-16T03:18:00Z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