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F0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  <w:t>《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lang w:eastAsia="zh-CN"/>
        </w:rPr>
        <w:t>汶上县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  <w:t>雪茄烟零售点布局规定（征求</w:t>
      </w:r>
    </w:p>
    <w:p w14:paraId="6998B67A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  <w:t>意见稿）》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解读</w:t>
      </w:r>
    </w:p>
    <w:p w14:paraId="76EB7AAC">
      <w:pPr>
        <w:jc w:val="left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p w14:paraId="69574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一、修订背景</w:t>
      </w:r>
    </w:p>
    <w:p w14:paraId="752260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2024年1月23日印发的《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汶上县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烟草制品零售点布局规定》（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汶烟专〔2024〕1号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）以普通卷烟零售点布局管理为核心，2025年虽配套出台了雪茄烟单独经营条件的补充规定，但整体上雪茄烟零售布局管理尚未形成系统完善的专项制度体系，在总量调控、布局规则、准入标准、场景管理等方面的规定不够全面细化。</w:t>
      </w:r>
    </w:p>
    <w:p w14:paraId="7C030B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近年来，辖区雪茄烟消费需求逐步增长，雪茄烟零售业态持续发展，对布局管理的专业化、规范化提出了更高要求。按照行业上级关于雪茄烟零售业务独立规划、单独布局管理的统一部署，为填补雪茄烟零售点布局管理制度空白，匹配雪茄烟市场发展特点与监管需求，引导雪茄烟零售市场规范、有序、适度发展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汶上县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烟草专卖局启动专项制定工作，在充分调研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我县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雪茄烟消费市场实际、系统梳理监管要求的基础上，起草形成本征求意见稿。</w:t>
      </w:r>
    </w:p>
    <w:p w14:paraId="4178B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二、修订依据</w:t>
      </w:r>
    </w:p>
    <w:p w14:paraId="3BD83C71">
      <w:pPr>
        <w:ind w:firstLine="64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本规定主要依据《中华人民共和国烟草专卖法》《中华人民共和国行政许可法》《中华人民共和国未成年人保护法》《中华人民共和国烟草专卖法实施条例》《烟草专卖许可证管理办法》（工业和信息化部令第37号）《烟草专卖许可证管理办法实施细则》（国烟法〔2020〕205号）《完善烟草专卖零售许可管理优化政务服务工作指引》（国烟法〔2024〕55号）等法律法规、规章及行政规范性文件，严格落实《山东省烟草专卖局关于优化烟草制品零售点布局规定的指导意见》（鲁烟专〔2026〕10号）中关于雪茄烟零售点单独布局管理的工作要求。</w:t>
      </w:r>
    </w:p>
    <w:p w14:paraId="5166227B">
      <w:pPr>
        <w:ind w:firstLine="640" w:firstLineChars="200"/>
        <w:jc w:val="left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三、主要内容</w:t>
      </w:r>
    </w:p>
    <w:p w14:paraId="58B4E6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本次征求意见稿共第十八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条，主要对雪茄烟零售点的适用范围、布局原则、总量控制、经营条件、禁设情形、变更管理、用语定义等内容作出规定，核心内容如下：</w:t>
      </w:r>
    </w:p>
    <w:p w14:paraId="60A76B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（一）明确单独管理原则。雪茄烟零售点实行专项布局管理，按照全市上年度卷烟零售户数量的百分之一设置总量上限，不受普通烟草制品零售点市场单元容量与间距限制，与普通零售点互不作为间距测算参照物，超出总量上限时实行轮候排序。</w:t>
      </w:r>
    </w:p>
    <w:p w14:paraId="41C35B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（二）细化经营准入条件。明确雪茄烟零售点需满足专门的陈列展示、恒温恒湿储存、品鉴场所等经营设施条件，契合雪茄烟产品特性与经营要求。</w:t>
      </w:r>
    </w:p>
    <w:p w14:paraId="51006C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（三）规范禁设准入情形。参照烟草零售许可通用管理要求，结合雪茄烟经营特点，明确经营主体、经营场所、经营模式、不适宜业态四类不予许可情形，筑牢市场准入底线。</w:t>
      </w:r>
    </w:p>
    <w:p w14:paraId="0FE4BC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（四）明确变更适用规则。针对经营地址落入学校周边限制区域、因政府规划或客观原因无法经营两类情形，明确地址变更的适用规则，保障经营主体合法权益。</w:t>
      </w:r>
    </w:p>
    <w:p w14:paraId="137E17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（五）统一相关用语定义。对固定经营场所、与住所相独立、中小学校、幼儿园等核心术语作出明确界定，统一执行标准与认定口径。</w:t>
      </w:r>
    </w:p>
    <w:p w14:paraId="5E54C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/>
          <w:color w:val="000000"/>
          <w:sz w:val="32"/>
          <w:szCs w:val="32"/>
          <w:lang w:eastAsia="zh-CN"/>
        </w:rPr>
        <w:t>、</w:t>
      </w: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新旧政策差异对比</w:t>
      </w:r>
    </w:p>
    <w:p w14:paraId="36E319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与2025年9月3日发布的雪茄烟单独经营条件补充规定相比，本次专项规定的变化主要有：</w:t>
      </w:r>
    </w:p>
    <w:p w14:paraId="15E9DB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一是制度体系更系统完备。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从依附于普通布局规定的零散条款、单一经营条件补充，升级为独立的专项布局管理规定，全面覆盖总量调控、布局规则、准入条件、禁设情形、变更管理等内容，形成了完整的制度体系。</w:t>
      </w:r>
    </w:p>
    <w:p w14:paraId="031C59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二是新增总量调控机制。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此前未设定雪茄烟零售点总量上限，本次明确按上年度卷烟零售户数量的 1% 设置上限，实行轮候排序管理，实现总量科学管控。</w:t>
      </w:r>
    </w:p>
    <w:p w14:paraId="7FB9B0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三是布局规则完全独立。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此前雪茄烟规则依附于普通零售点布局体系，本次明确不受普通零售点容量与间距限制，互不为间距测算参照物，落实单独布局管理要求。</w:t>
      </w:r>
    </w:p>
    <w:p w14:paraId="658682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四是经营条件整合规范。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整合了此前补充规定的经营条件，系统明确陈列展示、储存设施、品鉴场所三类标准，表述更规范，要求更清晰。</w:t>
      </w:r>
    </w:p>
    <w:p w14:paraId="71A185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五是准入禁设体系更完整。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此前仅明确经营条件，本次全面细化经营主体、经营场所、经营模式、不适宜业态四类不予许可情形，准入管理更全面。</w:t>
      </w:r>
    </w:p>
    <w:p w14:paraId="07778C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六是许可变更规则专项明确。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此前无专门的雪茄烟许可变更规则，本次针对两类客观情形明确变更适用规则，更好地保障经营主体合法权益。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892D80"/>
    <w:rsid w:val="07C5765D"/>
    <w:rsid w:val="15D231CC"/>
    <w:rsid w:val="2A892D80"/>
    <w:rsid w:val="4D8514CF"/>
    <w:rsid w:val="641E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1534</Words>
  <Characters>1562</Characters>
  <Lines>0</Lines>
  <Paragraphs>0</Paragraphs>
  <TotalTime>2</TotalTime>
  <ScaleCrop>false</ScaleCrop>
  <LinksUpToDate>false</LinksUpToDate>
  <CharactersWithSpaces>1564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2026-09-30T02:41:00Z</dcterms:created>
  <dc:creator>一指流沙</dc:creator>
  <cp:lastModifiedBy>Administrator</cp:lastModifiedBy>
  <dcterms:modified xsi:type="dcterms:W3CDTF">2026-10-15T01:33:54Z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84C860D6D03A4314A40E42FE6E2F2652_11</vt:lpwstr>
  </property>
  <property fmtid="{D5CDD505-2E9C-101B-9397-08002B2CF9AE}" pid="4" name="KSOTemplateDocerSaveRecord">
    <vt:lpwstr>eyJoZGlkIjoiZTZlNmY4MmJiMGE0OWE0YzEwYjBhMjU5MDkwNDRiZmEiLCJ1c2VySWQiOiI0MDQwODk0NjYifQ==</vt:lpwstr>
  </property>
</Properties>
</file>