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5C6A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w:t>
      </w:r>
      <w:r>
        <w:rPr>
          <w:rFonts w:hint="eastAsia" w:ascii="方正小标宋简体" w:hAnsi="方正小标宋简体" w:eastAsia="方正小标宋简体" w:cs="方正小标宋简体"/>
          <w:i w:val="0"/>
          <w:iCs w:val="0"/>
          <w:caps w:val="0"/>
          <w:color w:val="000000"/>
          <w:spacing w:val="0"/>
          <w:sz w:val="44"/>
          <w:szCs w:val="44"/>
          <w:lang w:eastAsia="zh-CN"/>
        </w:rPr>
        <w:t>汶上县烟草制品零售点布局规定</w:t>
      </w:r>
    </w:p>
    <w:p w14:paraId="14D375A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sz w:val="44"/>
          <w:szCs w:val="44"/>
          <w:lang w:val="en-US" w:eastAsia="zh-CN"/>
        </w:rPr>
      </w:pPr>
      <w:r>
        <w:rPr>
          <w:rFonts w:hint="eastAsia" w:ascii="方正小标宋简体" w:hAnsi="方正小标宋简体" w:eastAsia="方正小标宋简体" w:cs="方正小标宋简体"/>
          <w:i w:val="0"/>
          <w:iCs w:val="0"/>
          <w:caps w:val="0"/>
          <w:color w:val="000000"/>
          <w:spacing w:val="0"/>
          <w:sz w:val="44"/>
          <w:szCs w:val="44"/>
        </w:rPr>
        <w:t>（征求意见稿）》</w:t>
      </w:r>
      <w:r>
        <w:rPr>
          <w:rFonts w:hint="eastAsia" w:ascii="方正小标宋简体" w:hAnsi="方正小标宋简体" w:eastAsia="方正小标宋简体"/>
          <w:sz w:val="44"/>
          <w:szCs w:val="44"/>
          <w:lang w:val="en-US" w:eastAsia="zh-CN"/>
        </w:rPr>
        <w:t>解读</w:t>
      </w:r>
    </w:p>
    <w:p w14:paraId="69574A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一、修订背景</w:t>
      </w:r>
    </w:p>
    <w:p w14:paraId="5AB90C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《汶上县烟草制品零售点布局规定》（汶烟专〔2024〕1号）于 2024年1月23日印发，自2024年2月22 日起正式施行。施行以来，该规定在统筹零售点空间布局、严把零售许可准入关口、维护辖区卷烟市场平稳运行等方面发挥了基础性作用，取得了预期的管理成效。但随着我县城乡建设持续推进、商业业态不断更新、人口分布逐步变化，原有布局管理模式在适配市场发展节奏、精准配置许可资源等方面逐渐显现出局限性。</w:t>
      </w:r>
    </w:p>
    <w:p w14:paraId="6A7A1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lang w:val="en-US" w:eastAsia="zh-CN"/>
        </w:rPr>
        <w:t>为进一步放大合理布局制度的规划调控效能，优化零售点区域分布结构，匹配市场消费需求，保持零售户总量科学适度，实现布局科学合理、经营规范有序、市场平稳运行、群众便利满意的管理目标，汶上县烟草专卖局立足本地市场实际，严格对标上级最新工作部署，充分吸纳基层一线意见建议，启动本次布局规定修订工作，着力构建更加公平公正、精准高效的零售市场准入环境。</w:t>
      </w:r>
    </w:p>
    <w:p w14:paraId="4178B4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val="en-US" w:eastAsia="zh-CN"/>
        </w:rPr>
        <w:t>二、修订依据</w:t>
      </w:r>
    </w:p>
    <w:p w14:paraId="0FE273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中华人民共和国烟草专卖法》《中华人民共和国行政许可法》《中华人民共和国未成年人保护法》《中华人民共和国烟草专卖法实施条例》《烟草专卖许可证管理办法》（工业和信息化部令第37号）《烟草专卖许可证管理办法实施细则》（国烟法〔2020〕205号）《完善烟草专卖零售许可管理优化政务服务工作指引》（国烟法〔2024〕55号）等法律法规、规章和行政规范性文件。参照山东省烟草专卖局关于优化烟草制品零售点布局规定的指导意见》（鲁烟专〔2026〕10号）</w:t>
      </w:r>
      <w:bookmarkStart w:id="0" w:name="_GoBack"/>
      <w:bookmarkEnd w:id="0"/>
      <w:r>
        <w:rPr>
          <w:rFonts w:hint="eastAsia" w:ascii="仿宋_GB2312" w:hAnsi="仿宋_GB2312" w:eastAsia="仿宋_GB2312" w:cs="仿宋_GB2312"/>
          <w:i w:val="0"/>
          <w:iCs w:val="0"/>
          <w:caps w:val="0"/>
          <w:color w:val="000000"/>
          <w:spacing w:val="0"/>
          <w:sz w:val="32"/>
          <w:szCs w:val="32"/>
        </w:rPr>
        <w:t>等上级文件要求。</w:t>
      </w:r>
    </w:p>
    <w:p w14:paraId="495EF4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val="en-US" w:eastAsia="zh-CN"/>
        </w:rPr>
        <w:t>三、主要内容</w:t>
      </w:r>
    </w:p>
    <w:p w14:paraId="2589F6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本次征求意见稿共二十七条，主要规定了适用范围、布局原则、市场单元划分、容量管控、轮候排序、优抚政策、特殊情形处置、禁设条件、用语含义等内容。重点修订内容如下：</w:t>
      </w:r>
    </w:p>
    <w:p w14:paraId="66CFF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（一）优化市场单元布局管理体系。</w:t>
      </w:r>
      <w:r>
        <w:rPr>
          <w:rFonts w:hint="eastAsia" w:ascii="仿宋_GB2312" w:hAnsi="仿宋_GB2312" w:eastAsia="仿宋_GB2312" w:cs="仿宋_GB2312"/>
          <w:i w:val="0"/>
          <w:iCs w:val="0"/>
          <w:caps w:val="0"/>
          <w:color w:val="000000"/>
          <w:spacing w:val="0"/>
          <w:sz w:val="32"/>
          <w:szCs w:val="32"/>
        </w:rPr>
        <w:t>按照行政区划明确镇域市场单元和特殊市场单元分类，镇域单元以街道、乡镇为界限划定，特殊市场单元针对大型商业综合体、产业工业园区、国家级或省级旅游景区、铁路车站、长途汽车站、民用机场、客运码头、高速公路服务区等独立区域单独划定、单独管理，不纳入所在镇域单元容量合并计算，提升布局管理与不同市场场景的适配性。</w:t>
      </w:r>
    </w:p>
    <w:p w14:paraId="62EF58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（二）建立分区管控与轮候优化机制。</w:t>
      </w:r>
      <w:r>
        <w:rPr>
          <w:rFonts w:hint="eastAsia" w:ascii="仿宋_GB2312" w:hAnsi="仿宋_GB2312" w:eastAsia="仿宋_GB2312" w:cs="仿宋_GB2312"/>
          <w:i w:val="0"/>
          <w:iCs w:val="0"/>
          <w:caps w:val="0"/>
          <w:color w:val="000000"/>
          <w:spacing w:val="0"/>
          <w:sz w:val="32"/>
          <w:szCs w:val="32"/>
        </w:rPr>
        <w:t>根据单元容量与轮候规模，将镇域市场单元划分为发展区、平衡区、冻结区，分类实施差异化准入管理。优化轮候排序规则，落实“退一进一”按序办理机制</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轮候申请与实际申请应当保持申请人、经营地址、营业执照一致，轮候顺序不得调换或转让。</w:t>
      </w:r>
      <w:r>
        <w:rPr>
          <w:rFonts w:hint="eastAsia" w:ascii="仿宋_GB2312" w:hAnsi="仿宋_GB2312" w:eastAsia="仿宋_GB2312" w:cs="仿宋_GB2312"/>
          <w:i w:val="0"/>
          <w:iCs w:val="0"/>
          <w:caps w:val="0"/>
          <w:color w:val="000000"/>
          <w:spacing w:val="0"/>
          <w:sz w:val="32"/>
          <w:szCs w:val="32"/>
          <w:lang w:val="en-US" w:eastAsia="zh-CN"/>
        </w:rPr>
        <w:t>根据省烟草专卖局部署及本地实际管理需要，在充分调研和评估的基础上，适时探索采用集中时点摇号或集中时点放号模式</w:t>
      </w:r>
      <w:r>
        <w:rPr>
          <w:rFonts w:hint="eastAsia" w:ascii="仿宋_GB2312" w:hAnsi="仿宋_GB2312" w:eastAsia="仿宋_GB2312" w:cs="仿宋_GB2312"/>
          <w:i w:val="0"/>
          <w:iCs w:val="0"/>
          <w:caps w:val="0"/>
          <w:color w:val="000000"/>
          <w:spacing w:val="0"/>
          <w:sz w:val="32"/>
          <w:szCs w:val="32"/>
          <w:lang w:eastAsia="zh-CN"/>
        </w:rPr>
        <w:t>。</w:t>
      </w:r>
    </w:p>
    <w:p w14:paraId="4B5B78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（三）细化特殊群体优抚扶持政策。</w:t>
      </w:r>
      <w:r>
        <w:rPr>
          <w:rFonts w:hint="eastAsia" w:ascii="仿宋_GB2312" w:hAnsi="仿宋_GB2312" w:eastAsia="仿宋_GB2312" w:cs="仿宋_GB2312"/>
          <w:i w:val="0"/>
          <w:iCs w:val="0"/>
          <w:caps w:val="0"/>
          <w:color w:val="000000"/>
          <w:spacing w:val="0"/>
          <w:sz w:val="32"/>
          <w:szCs w:val="32"/>
        </w:rPr>
        <w:t>明确优抚对象范围及适用的残疾类别、等级，统一优抚间距放宽标准为不低于规定间距的60%；细化优抚申请条件，明确主体类型、一户一证、证明材料、本人实际经营等要求；增设政策约束规则，明确同一优抚对象仅享受一次放宽政策，确保优抚红利精准惠及符合条件对象。</w:t>
      </w:r>
    </w:p>
    <w:p w14:paraId="4A712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（四）完善特殊情形处置规则。</w:t>
      </w:r>
      <w:r>
        <w:rPr>
          <w:rFonts w:hint="eastAsia" w:ascii="仿宋_GB2312" w:hAnsi="仿宋_GB2312" w:eastAsia="仿宋_GB2312" w:cs="仿宋_GB2312"/>
          <w:i w:val="0"/>
          <w:iCs w:val="0"/>
          <w:caps w:val="0"/>
          <w:color w:val="000000"/>
          <w:spacing w:val="0"/>
          <w:sz w:val="32"/>
          <w:szCs w:val="32"/>
        </w:rPr>
        <w:t>明确因中小学幼儿园限制区、政府规划拆迁等客观原因搬迁的，不受目标地址所在市场单元容量限制</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 w:eastAsia="仿宋_GB2312" w:cs="仿宋_GB2312"/>
          <w:sz w:val="32"/>
          <w:szCs w:val="32"/>
        </w:rPr>
        <w:t>但受间距限制</w:t>
      </w:r>
      <w:r>
        <w:rPr>
          <w:rFonts w:hint="eastAsia" w:ascii="仿宋_GB2312" w:hAnsi="仿宋_GB2312" w:eastAsia="仿宋_GB2312" w:cs="仿宋_GB2312"/>
          <w:i w:val="0"/>
          <w:iCs w:val="0"/>
          <w:caps w:val="0"/>
          <w:color w:val="000000"/>
          <w:spacing w:val="0"/>
          <w:sz w:val="32"/>
          <w:szCs w:val="32"/>
        </w:rPr>
        <w:t>；细化持证人死亡或丧失民事行为能力后的资格承继规则，明确申请时限、适用条件及容量间距豁免政策</w:t>
      </w:r>
      <w:r>
        <w:rPr>
          <w:rFonts w:hint="eastAsia" w:ascii="仿宋_GB2312" w:hAnsi="仿宋_GB2312" w:eastAsia="仿宋_GB2312" w:cs="仿宋_GB2312"/>
          <w:i w:val="0"/>
          <w:iCs w:val="0"/>
          <w:caps w:val="0"/>
          <w:color w:val="000000"/>
          <w:spacing w:val="0"/>
          <w:sz w:val="32"/>
          <w:szCs w:val="32"/>
          <w:lang w:eastAsia="zh-CN"/>
        </w:rPr>
        <w:t>，享受优抚政策办证的零售户，不适用于此项规定</w:t>
      </w:r>
      <w:r>
        <w:rPr>
          <w:rFonts w:hint="eastAsia" w:ascii="仿宋_GB2312" w:hAnsi="仿宋_GB2312" w:eastAsia="仿宋_GB2312" w:cs="仿宋_GB2312"/>
          <w:i w:val="0"/>
          <w:iCs w:val="0"/>
          <w:caps w:val="0"/>
          <w:color w:val="000000"/>
          <w:spacing w:val="0"/>
          <w:sz w:val="32"/>
          <w:szCs w:val="32"/>
        </w:rPr>
        <w:t>。</w:t>
      </w:r>
    </w:p>
    <w:p w14:paraId="20CB4E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（五）规范禁设情形与执行标准。</w:t>
      </w:r>
      <w:r>
        <w:rPr>
          <w:rFonts w:hint="eastAsia" w:ascii="仿宋_GB2312" w:hAnsi="仿宋_GB2312" w:eastAsia="仿宋_GB2312" w:cs="仿宋_GB2312"/>
          <w:i w:val="0"/>
          <w:iCs w:val="0"/>
          <w:caps w:val="0"/>
          <w:color w:val="000000"/>
          <w:spacing w:val="0"/>
          <w:sz w:val="32"/>
          <w:szCs w:val="32"/>
        </w:rPr>
        <w:t>细化经营主体、经营场所、主营业务</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经营模式</w:t>
      </w:r>
      <w:r>
        <w:rPr>
          <w:rFonts w:hint="eastAsia" w:ascii="仿宋_GB2312" w:hAnsi="仿宋_GB2312" w:eastAsia="仿宋_GB2312" w:cs="仿宋_GB2312"/>
          <w:i w:val="0"/>
          <w:iCs w:val="0"/>
          <w:caps w:val="0"/>
          <w:color w:val="000000"/>
          <w:spacing w:val="0"/>
          <w:sz w:val="32"/>
          <w:szCs w:val="32"/>
          <w:lang w:val="en-US" w:eastAsia="zh-CN"/>
        </w:rPr>
        <w:t>四</w:t>
      </w:r>
      <w:r>
        <w:rPr>
          <w:rFonts w:hint="eastAsia" w:ascii="仿宋_GB2312" w:hAnsi="仿宋_GB2312" w:eastAsia="仿宋_GB2312" w:cs="仿宋_GB2312"/>
          <w:i w:val="0"/>
          <w:iCs w:val="0"/>
          <w:caps w:val="0"/>
          <w:color w:val="000000"/>
          <w:spacing w:val="0"/>
          <w:sz w:val="32"/>
          <w:szCs w:val="32"/>
        </w:rPr>
        <w:t>类不予许可情形，完善未成年人活动聚集场所、易诱导未成年人关注的业态禁设要求，明确与烟草零售无互补关系的专业业态禁设范围。</w:t>
      </w:r>
    </w:p>
    <w:p w14:paraId="1DF8D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楷体" w:hAnsi="楷体" w:eastAsia="楷体" w:cs="楷体"/>
          <w:b w:val="0"/>
          <w:bCs w:val="0"/>
          <w:i w:val="0"/>
          <w:iCs w:val="0"/>
          <w:caps w:val="0"/>
          <w:color w:val="000000"/>
          <w:spacing w:val="0"/>
          <w:sz w:val="32"/>
          <w:szCs w:val="32"/>
        </w:rPr>
        <w:t>（六）统一相关用语定义标准。</w:t>
      </w:r>
      <w:r>
        <w:rPr>
          <w:rFonts w:hint="eastAsia" w:ascii="仿宋_GB2312" w:hAnsi="仿宋_GB2312" w:eastAsia="仿宋_GB2312" w:cs="仿宋_GB2312"/>
          <w:i w:val="0"/>
          <w:iCs w:val="0"/>
          <w:caps w:val="0"/>
          <w:color w:val="000000"/>
          <w:spacing w:val="0"/>
          <w:sz w:val="32"/>
          <w:szCs w:val="32"/>
        </w:rPr>
        <w:t>细化“固定经营场所”“本人实际经营”等术语的具体含义，明确执行认定标准，提升政策执行的统一性与精准度。</w:t>
      </w:r>
    </w:p>
    <w:p w14:paraId="5E54C0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olor w:val="000000"/>
          <w:sz w:val="32"/>
          <w:szCs w:val="32"/>
          <w:lang w:val="en-US" w:eastAsia="zh-CN"/>
        </w:rPr>
      </w:pPr>
      <w:r>
        <w:rPr>
          <w:rFonts w:hint="eastAsia" w:ascii="黑体" w:hAnsi="黑体" w:eastAsia="黑体"/>
          <w:color w:val="000000"/>
          <w:sz w:val="32"/>
          <w:szCs w:val="32"/>
          <w:lang w:val="en-US" w:eastAsia="zh-CN"/>
        </w:rPr>
        <w:t>四</w:t>
      </w:r>
      <w:r>
        <w:rPr>
          <w:rFonts w:hint="eastAsia" w:ascii="黑体" w:hAnsi="黑体" w:eastAsia="黑体"/>
          <w:color w:val="000000"/>
          <w:sz w:val="32"/>
          <w:szCs w:val="32"/>
          <w:lang w:eastAsia="zh-CN"/>
        </w:rPr>
        <w:t>、</w:t>
      </w:r>
      <w:r>
        <w:rPr>
          <w:rFonts w:hint="eastAsia" w:ascii="黑体" w:hAnsi="黑体" w:eastAsia="黑体"/>
          <w:color w:val="000000"/>
          <w:sz w:val="32"/>
          <w:szCs w:val="32"/>
          <w:lang w:val="en-US" w:eastAsia="zh-CN"/>
        </w:rPr>
        <w:t>新旧政策差异对比</w:t>
      </w:r>
    </w:p>
    <w:p w14:paraId="350059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default" w:ascii="仿宋_GB2312" w:hAnsi="仿宋_GB2312" w:eastAsia="仿宋_GB2312" w:cs="仿宋_GB2312"/>
          <w:i w:val="0"/>
          <w:iCs w:val="0"/>
          <w:caps w:val="0"/>
          <w:color w:val="000000"/>
          <w:spacing w:val="0"/>
          <w:sz w:val="32"/>
          <w:szCs w:val="32"/>
          <w:lang w:val="en-US" w:eastAsia="zh-CN"/>
        </w:rPr>
        <w:t>新版《</w:t>
      </w:r>
      <w:r>
        <w:rPr>
          <w:rFonts w:hint="eastAsia" w:ascii="仿宋_GB2312" w:hAnsi="仿宋_GB2312" w:eastAsia="仿宋_GB2312" w:cs="仿宋_GB2312"/>
          <w:i w:val="0"/>
          <w:iCs w:val="0"/>
          <w:caps w:val="0"/>
          <w:color w:val="000000"/>
          <w:spacing w:val="0"/>
          <w:sz w:val="32"/>
          <w:szCs w:val="32"/>
          <w:lang w:val="en-US" w:eastAsia="zh-CN"/>
        </w:rPr>
        <w:t>汶上县烟草制品零售点布局规定</w:t>
      </w:r>
      <w:r>
        <w:rPr>
          <w:rFonts w:hint="default" w:ascii="仿宋_GB2312" w:hAnsi="仿宋_GB2312" w:eastAsia="仿宋_GB2312" w:cs="仿宋_GB2312"/>
          <w:i w:val="0"/>
          <w:iCs w:val="0"/>
          <w:caps w:val="0"/>
          <w:color w:val="000000"/>
          <w:spacing w:val="0"/>
          <w:sz w:val="32"/>
          <w:szCs w:val="32"/>
          <w:lang w:val="en-US" w:eastAsia="zh-CN"/>
        </w:rPr>
        <w:t>》较2024年施行的原规定，主要有以下差异：</w:t>
      </w:r>
    </w:p>
    <w:p w14:paraId="09FB39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（一）市场单元体系更完善。</w:t>
      </w:r>
      <w:r>
        <w:rPr>
          <w:rFonts w:hint="default" w:ascii="仿宋_GB2312" w:hAnsi="仿宋_GB2312" w:eastAsia="仿宋_GB2312" w:cs="仿宋_GB2312"/>
          <w:i w:val="0"/>
          <w:iCs w:val="0"/>
          <w:caps w:val="0"/>
          <w:color w:val="000000"/>
          <w:spacing w:val="0"/>
          <w:sz w:val="32"/>
          <w:szCs w:val="32"/>
          <w:lang w:val="en-US" w:eastAsia="zh-CN"/>
        </w:rPr>
        <w:t>原规定市场单元</w:t>
      </w:r>
      <w:r>
        <w:rPr>
          <w:rFonts w:hint="eastAsia" w:ascii="仿宋_GB2312" w:hAnsi="仿宋_GB2312" w:eastAsia="仿宋_GB2312" w:cs="仿宋_GB2312"/>
          <w:i w:val="0"/>
          <w:iCs w:val="0"/>
          <w:caps w:val="0"/>
          <w:color w:val="000000"/>
          <w:spacing w:val="0"/>
          <w:sz w:val="32"/>
          <w:szCs w:val="32"/>
          <w:lang w:val="en-US" w:eastAsia="zh-CN"/>
        </w:rPr>
        <w:t>以道路、住宅小区等为界限，划分</w:t>
      </w:r>
      <w:r>
        <w:rPr>
          <w:rFonts w:hint="default" w:ascii="仿宋_GB2312" w:hAnsi="仿宋_GB2312" w:eastAsia="仿宋_GB2312" w:cs="仿宋_GB2312"/>
          <w:i w:val="0"/>
          <w:iCs w:val="0"/>
          <w:caps w:val="0"/>
          <w:color w:val="000000"/>
          <w:spacing w:val="0"/>
          <w:sz w:val="32"/>
          <w:szCs w:val="32"/>
          <w:lang w:val="en-US" w:eastAsia="zh-CN"/>
        </w:rPr>
        <w:t>较为</w:t>
      </w:r>
      <w:r>
        <w:rPr>
          <w:rFonts w:hint="eastAsia" w:ascii="仿宋_GB2312" w:hAnsi="仿宋_GB2312" w:eastAsia="仿宋_GB2312" w:cs="仿宋_GB2312"/>
          <w:i w:val="0"/>
          <w:iCs w:val="0"/>
          <w:caps w:val="0"/>
          <w:color w:val="000000"/>
          <w:spacing w:val="0"/>
          <w:sz w:val="32"/>
          <w:szCs w:val="32"/>
          <w:lang w:val="en-US" w:eastAsia="zh-CN"/>
        </w:rPr>
        <w:t>零散</w:t>
      </w:r>
      <w:r>
        <w:rPr>
          <w:rFonts w:hint="default" w:ascii="仿宋_GB2312" w:hAnsi="仿宋_GB2312" w:eastAsia="仿宋_GB2312" w:cs="仿宋_GB2312"/>
          <w:i w:val="0"/>
          <w:iCs w:val="0"/>
          <w:caps w:val="0"/>
          <w:color w:val="000000"/>
          <w:spacing w:val="0"/>
          <w:sz w:val="32"/>
          <w:szCs w:val="32"/>
          <w:lang w:val="en-US" w:eastAsia="zh-CN"/>
        </w:rPr>
        <w:t>，新版明确构建“镇域市场单元 + 特殊市场单元”分类管理体系，特殊市场单元单独划定、单独管理，布局适配性显著提升；同时新增市场单元动态评估调整机制。</w:t>
      </w:r>
    </w:p>
    <w:p w14:paraId="363BA9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（二）新增分区管控机制。</w:t>
      </w:r>
      <w:r>
        <w:rPr>
          <w:rFonts w:hint="default" w:ascii="仿宋_GB2312" w:hAnsi="仿宋_GB2312" w:eastAsia="仿宋_GB2312" w:cs="仿宋_GB2312"/>
          <w:i w:val="0"/>
          <w:iCs w:val="0"/>
          <w:caps w:val="0"/>
          <w:color w:val="000000"/>
          <w:spacing w:val="0"/>
          <w:sz w:val="32"/>
          <w:szCs w:val="32"/>
          <w:lang w:val="en-US" w:eastAsia="zh-CN"/>
        </w:rPr>
        <w:t>原规定未实行分区分类管理，新版根据容量与轮候规模划分发展区、平衡区、冻结区，实施差异化准入策略，管理精细化程度大幅提高。</w:t>
      </w:r>
    </w:p>
    <w:p w14:paraId="07C23B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（三）轮候管理更规范精细。</w:t>
      </w:r>
      <w:r>
        <w:rPr>
          <w:rFonts w:hint="default" w:ascii="仿宋_GB2312" w:hAnsi="仿宋_GB2312" w:eastAsia="仿宋_GB2312" w:cs="仿宋_GB2312"/>
          <w:i w:val="0"/>
          <w:iCs w:val="0"/>
          <w:caps w:val="0"/>
          <w:color w:val="000000"/>
          <w:spacing w:val="0"/>
          <w:sz w:val="32"/>
          <w:szCs w:val="32"/>
          <w:lang w:val="en-US" w:eastAsia="zh-CN"/>
        </w:rPr>
        <w:t>新版明确3个工作日</w:t>
      </w:r>
      <w:r>
        <w:rPr>
          <w:rFonts w:hint="eastAsia" w:ascii="仿宋_GB2312" w:hAnsi="仿宋_GB2312" w:eastAsia="仿宋_GB2312" w:cs="仿宋_GB2312"/>
          <w:i w:val="0"/>
          <w:iCs w:val="0"/>
          <w:caps w:val="0"/>
          <w:color w:val="000000"/>
          <w:spacing w:val="0"/>
          <w:sz w:val="32"/>
          <w:szCs w:val="32"/>
          <w:lang w:val="en-US" w:eastAsia="zh-CN"/>
        </w:rPr>
        <w:t>通知</w:t>
      </w:r>
      <w:r>
        <w:rPr>
          <w:rFonts w:hint="default" w:ascii="仿宋_GB2312" w:hAnsi="仿宋_GB2312" w:eastAsia="仿宋_GB2312" w:cs="仿宋_GB2312"/>
          <w:i w:val="0"/>
          <w:iCs w:val="0"/>
          <w:caps w:val="0"/>
          <w:color w:val="000000"/>
          <w:spacing w:val="0"/>
          <w:sz w:val="32"/>
          <w:szCs w:val="32"/>
          <w:lang w:val="en-US" w:eastAsia="zh-CN"/>
        </w:rPr>
        <w:t>与提交时限，建立动态清理机制，明确轮候顺位不得调换转让，提升轮候流转效率与规范性。</w:t>
      </w:r>
    </w:p>
    <w:p w14:paraId="4704F2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（四）优抚政策更精准严格。</w:t>
      </w:r>
      <w:r>
        <w:rPr>
          <w:rFonts w:hint="default" w:ascii="仿宋_GB2312" w:hAnsi="仿宋_GB2312" w:eastAsia="仿宋_GB2312" w:cs="仿宋_GB2312"/>
          <w:i w:val="0"/>
          <w:iCs w:val="0"/>
          <w:caps w:val="0"/>
          <w:color w:val="000000"/>
          <w:spacing w:val="0"/>
          <w:sz w:val="32"/>
          <w:szCs w:val="32"/>
          <w:lang w:val="en-US" w:eastAsia="zh-CN"/>
        </w:rPr>
        <w:t>原规定优抚对象范围较宽、</w:t>
      </w:r>
      <w:r>
        <w:rPr>
          <w:rFonts w:hint="eastAsia" w:ascii="仿宋_GB2312" w:hAnsi="仿宋_GB2312" w:eastAsia="仿宋_GB2312" w:cs="仿宋_GB2312"/>
          <w:i w:val="0"/>
          <w:iCs w:val="0"/>
          <w:caps w:val="0"/>
          <w:color w:val="000000"/>
          <w:spacing w:val="0"/>
          <w:sz w:val="32"/>
          <w:szCs w:val="32"/>
          <w:lang w:val="en-US" w:eastAsia="zh-CN"/>
        </w:rPr>
        <w:t>与其他零售点之间</w:t>
      </w:r>
      <w:r>
        <w:rPr>
          <w:rFonts w:hint="default" w:ascii="仿宋_GB2312" w:hAnsi="仿宋_GB2312" w:eastAsia="仿宋_GB2312" w:cs="仿宋_GB2312"/>
          <w:i w:val="0"/>
          <w:iCs w:val="0"/>
          <w:caps w:val="0"/>
          <w:color w:val="000000"/>
          <w:spacing w:val="0"/>
          <w:sz w:val="32"/>
          <w:szCs w:val="32"/>
          <w:lang w:val="en-US" w:eastAsia="zh-CN"/>
        </w:rPr>
        <w:t>不受间距限制；新版细化残疾类别与等级，统一规定间距的60%，增设“不得变更持证人</w:t>
      </w:r>
      <w:r>
        <w:rPr>
          <w:rFonts w:hint="eastAsia" w:ascii="仿宋_GB2312" w:hAnsi="仿宋_GB2312" w:eastAsia="仿宋_GB2312" w:cs="仿宋_GB2312"/>
          <w:i w:val="0"/>
          <w:iCs w:val="0"/>
          <w:caps w:val="0"/>
          <w:color w:val="000000"/>
          <w:spacing w:val="0"/>
          <w:sz w:val="32"/>
          <w:szCs w:val="32"/>
          <w:lang w:val="en-US" w:eastAsia="zh-CN"/>
        </w:rPr>
        <w:t>”</w:t>
      </w:r>
      <w:r>
        <w:rPr>
          <w:rFonts w:hint="default" w:ascii="仿宋_GB2312" w:hAnsi="仿宋_GB2312" w:eastAsia="仿宋_GB2312" w:cs="仿宋_GB2312"/>
          <w:i w:val="0"/>
          <w:iCs w:val="0"/>
          <w:caps w:val="0"/>
          <w:color w:val="000000"/>
          <w:spacing w:val="0"/>
          <w:sz w:val="32"/>
          <w:szCs w:val="32"/>
          <w:lang w:val="en-US" w:eastAsia="zh-CN"/>
        </w:rPr>
        <w:t>“仅享受一次”约束条款，既保障扶持精准落地，又防范政策冒用。</w:t>
      </w:r>
    </w:p>
    <w:p w14:paraId="51CF2B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（五）特殊情形处置更明确。</w:t>
      </w:r>
      <w:r>
        <w:rPr>
          <w:rFonts w:hint="default" w:ascii="仿宋_GB2312" w:hAnsi="仿宋_GB2312" w:eastAsia="仿宋_GB2312" w:cs="仿宋_GB2312"/>
          <w:i w:val="0"/>
          <w:iCs w:val="0"/>
          <w:caps w:val="0"/>
          <w:color w:val="000000"/>
          <w:spacing w:val="0"/>
          <w:sz w:val="32"/>
          <w:szCs w:val="32"/>
          <w:lang w:val="en-US" w:eastAsia="zh-CN"/>
        </w:rPr>
        <w:t>原规定特殊情形条款较为笼统，新版细化搬迁类情形的容量豁免规则，明确持证人资格承继的90日申请时限、适用条件与豁免范围，规则更清晰、可操作性更强。</w:t>
      </w:r>
    </w:p>
    <w:p w14:paraId="1E57C5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r>
        <w:rPr>
          <w:rFonts w:hint="eastAsia" w:ascii="楷体" w:hAnsi="楷体" w:eastAsia="楷体" w:cs="楷体"/>
          <w:i w:val="0"/>
          <w:iCs w:val="0"/>
          <w:caps w:val="0"/>
          <w:color w:val="000000"/>
          <w:spacing w:val="0"/>
          <w:sz w:val="32"/>
          <w:szCs w:val="32"/>
          <w:lang w:val="en-US" w:eastAsia="zh-CN"/>
        </w:rPr>
        <w:t>（六）术语定义更统一规范。</w:t>
      </w:r>
      <w:r>
        <w:rPr>
          <w:rFonts w:hint="default" w:ascii="仿宋_GB2312" w:hAnsi="仿宋_GB2312" w:eastAsia="仿宋_GB2312" w:cs="仿宋_GB2312"/>
          <w:i w:val="0"/>
          <w:iCs w:val="0"/>
          <w:caps w:val="0"/>
          <w:color w:val="000000"/>
          <w:spacing w:val="0"/>
          <w:sz w:val="32"/>
          <w:szCs w:val="32"/>
          <w:lang w:val="en-US" w:eastAsia="zh-CN"/>
        </w:rPr>
        <w:t>新增“本人实际经营”等术语的明确定义，细化“固定经营场所”等表述的认定标准，提升政策执行的一致性。</w:t>
      </w:r>
    </w:p>
    <w:p w14:paraId="07D0F3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000000"/>
          <w:spacing w:val="0"/>
          <w:sz w:val="32"/>
          <w:szCs w:val="32"/>
          <w:lang w:val="en-US" w:eastAsia="zh-CN"/>
        </w:rPr>
      </w:pPr>
    </w:p>
    <w:p w14:paraId="62BCE974">
      <w:pPr>
        <w:keepNext w:val="0"/>
        <w:keepLines w:val="0"/>
        <w:pageBreakBefore w:val="0"/>
        <w:widowControl w:val="0"/>
        <w:kinsoku/>
        <w:wordWrap/>
        <w:overflowPunct/>
        <w:topLinePunct w:val="0"/>
        <w:autoSpaceDE/>
        <w:autoSpaceDN/>
        <w:bidi w:val="0"/>
        <w:snapToGrid/>
        <w:spacing w:line="560" w:lineRule="exact"/>
        <w:jc w:val="left"/>
        <w:rPr>
          <w:rFonts w:hint="default" w:ascii="仿宋_GB2312" w:hAnsi="仿宋_GB2312" w:eastAsia="仿宋_GB2312" w:cs="仿宋_GB2312"/>
          <w:sz w:val="32"/>
          <w:szCs w:val="32"/>
          <w:lang w:val="en-US" w:eastAsia="zh-CN"/>
        </w:rPr>
      </w:pPr>
    </w:p>
    <w:p w14:paraId="6752659D"/>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169C1"/>
    <w:rsid w:val="09C93FDD"/>
    <w:rsid w:val="25941596"/>
    <w:rsid w:val="320329AC"/>
    <w:rsid w:val="3F446ADE"/>
    <w:rsid w:val="434019E2"/>
    <w:rsid w:val="43707776"/>
    <w:rsid w:val="4B2477C4"/>
    <w:rsid w:val="4D956757"/>
    <w:rsid w:val="551169C1"/>
    <w:rsid w:val="5FAF43AB"/>
    <w:rsid w:val="6D164F86"/>
    <w:rsid w:val="76052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2006</Words>
  <Characters>2035</Characters>
  <Lines>0</Lines>
  <Paragraphs>0</Paragraphs>
  <TotalTime>9</TotalTime>
  <ScaleCrop>false</ScaleCrop>
  <LinksUpToDate>false</LinksUpToDate>
  <CharactersWithSpaces>2039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2026-09-30T02:22:00Z</dcterms:created>
  <dc:creator>一指流沙</dc:creator>
  <cp:lastModifiedBy>Administrator</cp:lastModifiedBy>
  <dcterms:modified xsi:type="dcterms:W3CDTF">2026-10-14T02:23:00Z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3B88FECD69144CC08A584291089EA59B_11</vt:lpwstr>
  </property>
  <property fmtid="{D5CDD505-2E9C-101B-9397-08002B2CF9AE}" pid="4" name="KSOTemplateDocerSaveRecord">
    <vt:lpwstr>eyJoZGlkIjoiZTZlNmY4MmJiMGE0OWE0YzEwYjBhMjU5MDkwNDRiZmEiLCJ1c2VySWQiOiI0MDQwODk0NjYifQ==</vt:lpwstr>
  </property>
</Properties>
</file>