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汶上县财政局2021年政府信息公开工作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本报告由</w:t>
      </w:r>
      <w:r>
        <w:rPr>
          <w:rFonts w:hint="eastAsia" w:ascii="Times New Roman" w:hAnsi="Times New Roman" w:eastAsia="仿宋_GB2312" w:cs="Times New Roman"/>
          <w:sz w:val="32"/>
          <w:szCs w:val="32"/>
          <w:lang w:val="en-US" w:eastAsia="zh-CN"/>
        </w:rPr>
        <w:t>汶上县财政局</w:t>
      </w:r>
      <w:r>
        <w:rPr>
          <w:rFonts w:hint="default" w:ascii="Times New Roman" w:hAnsi="Times New Roman" w:eastAsia="仿宋_GB2312" w:cs="Times New Roman"/>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本报告所列数据的统计期限自2021年1月1日起至2021年12月31日止。本报告电子版可在“中国·</w:t>
      </w:r>
      <w:r>
        <w:rPr>
          <w:rFonts w:hint="default" w:ascii="Times New Roman" w:hAnsi="Times New Roman" w:eastAsia="仿宋_GB2312" w:cs="Times New Roman"/>
          <w:sz w:val="32"/>
          <w:szCs w:val="32"/>
          <w:lang w:val="en-US" w:eastAsia="zh-CN"/>
        </w:rPr>
        <w:t>汶上</w:t>
      </w:r>
      <w:r>
        <w:rPr>
          <w:rFonts w:hint="default" w:ascii="Times New Roman" w:hAnsi="Times New Roman" w:eastAsia="仿宋_GB2312" w:cs="Times New Roman"/>
          <w:sz w:val="32"/>
          <w:szCs w:val="32"/>
        </w:rPr>
        <w:t>”政府门户网站（http://www.wenshang.gov.cn/）查阅或下载。如对本报告有疑问，请与</w:t>
      </w:r>
      <w:r>
        <w:rPr>
          <w:rFonts w:hint="eastAsia" w:ascii="Times New Roman" w:hAnsi="Times New Roman" w:eastAsia="仿宋_GB2312" w:cs="Times New Roman"/>
          <w:sz w:val="32"/>
          <w:szCs w:val="32"/>
          <w:lang w:val="en-US" w:eastAsia="zh-CN"/>
        </w:rPr>
        <w:t>汶上县财政局</w:t>
      </w:r>
      <w:r>
        <w:rPr>
          <w:rFonts w:hint="default" w:ascii="Times New Roman" w:hAnsi="Times New Roman" w:eastAsia="仿宋_GB2312" w:cs="Times New Roman"/>
          <w:sz w:val="32"/>
          <w:szCs w:val="32"/>
        </w:rPr>
        <w:t>联系（地址：汶上县政和路869号，联系电话：0537-7212847）。</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年，汶上县财政局严格落实县委、县政府关于推进政务公开的总体部署</w:t>
      </w:r>
      <w:r>
        <w:rPr>
          <w:rFonts w:hint="default" w:ascii="Times New Roman" w:hAnsi="Times New Roman" w:eastAsia="仿宋_GB2312" w:cs="Times New Roman"/>
          <w:sz w:val="32"/>
          <w:szCs w:val="32"/>
          <w:lang w:val="en-US" w:eastAsia="zh-CN"/>
        </w:rPr>
        <w:t>和要求</w:t>
      </w:r>
      <w:r>
        <w:rPr>
          <w:rFonts w:hint="default" w:ascii="Times New Roman" w:hAnsi="Times New Roman" w:eastAsia="仿宋_GB2312" w:cs="Times New Roman"/>
          <w:sz w:val="32"/>
          <w:szCs w:val="32"/>
          <w:lang w:eastAsia="zh-CN"/>
        </w:rPr>
        <w:t>，坚持以公开为常态、不公开为例外，遵循公正、公平、合法、便民的原则，依法、及时、准确地公开本机关政府信息，有效推进了“阳光财政”建设，促进了社会各界对财政工作的监督。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主动公开情况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汶上县财政局按照“简洁、高效、方便、快捷”的原则，不断提升信息公开平台运作水平和服务质量，充分发挥汶上县政府网站、“汶上财政”公众号等平台窗口作用，深入推进信息宣传发布工作，全局信息公开工作提质增效。今年以来，我局依托各类平台累计发布信息</w:t>
      </w:r>
      <w:r>
        <w:rPr>
          <w:rFonts w:hint="eastAsia" w:ascii="Times New Roman" w:hAnsi="Times New Roman" w:eastAsia="仿宋_GB2312" w:cs="Times New Roman"/>
          <w:sz w:val="32"/>
          <w:szCs w:val="32"/>
          <w:lang w:val="en-US" w:eastAsia="zh-CN"/>
        </w:rPr>
        <w:t>3342</w:t>
      </w:r>
      <w:r>
        <w:rPr>
          <w:rFonts w:hint="default" w:ascii="Times New Roman" w:hAnsi="Times New Roman" w:eastAsia="仿宋_GB2312" w:cs="Times New Roman"/>
          <w:sz w:val="32"/>
          <w:szCs w:val="32"/>
          <w:lang w:val="en-US" w:eastAsia="zh-CN"/>
        </w:rPr>
        <w:t>条，其中，汶上县财政局专栏公开</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汶上县政务公开栏公开</w:t>
      </w:r>
      <w:r>
        <w:rPr>
          <w:rFonts w:hint="eastAsia" w:ascii="Times New Roman" w:hAnsi="Times New Roman" w:eastAsia="仿宋_GB2312" w:cs="Times New Roman"/>
          <w:sz w:val="32"/>
          <w:szCs w:val="32"/>
          <w:lang w:val="en-US" w:eastAsia="zh-CN"/>
        </w:rPr>
        <w:t>1186</w:t>
      </w:r>
      <w:r>
        <w:rPr>
          <w:rFonts w:hint="default" w:ascii="Times New Roman" w:hAnsi="Times New Roman" w:eastAsia="仿宋_GB2312" w:cs="Times New Roman"/>
          <w:sz w:val="32"/>
          <w:szCs w:val="32"/>
          <w:lang w:val="en-US" w:eastAsia="zh-CN"/>
        </w:rPr>
        <w:t>条，政务微信(汶上财政)公开信息128条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汶上信息、汶上政务信息、各类媒体（含网站、报刊、杂志等）</w:t>
      </w:r>
      <w:r>
        <w:rPr>
          <w:rFonts w:hint="eastAsia" w:ascii="Times New Roman" w:hAnsi="Times New Roman" w:eastAsia="仿宋_GB2312" w:cs="Times New Roman"/>
          <w:sz w:val="32"/>
          <w:szCs w:val="32"/>
          <w:lang w:val="en-US" w:eastAsia="zh-CN"/>
        </w:rPr>
        <w:t>、省政府采购信息公开平台</w:t>
      </w:r>
      <w:r>
        <w:rPr>
          <w:rFonts w:hint="default" w:ascii="Times New Roman" w:hAnsi="Times New Roman" w:eastAsia="仿宋_GB2312" w:cs="Times New Roman"/>
          <w:sz w:val="32"/>
          <w:szCs w:val="32"/>
          <w:lang w:val="en-US" w:eastAsia="zh-CN"/>
        </w:rPr>
        <w:t>等其他方式公开政府信息</w:t>
      </w:r>
      <w:r>
        <w:rPr>
          <w:rFonts w:hint="eastAsia" w:ascii="Times New Roman" w:hAnsi="Times New Roman" w:eastAsia="仿宋_GB2312" w:cs="Times New Roman"/>
          <w:sz w:val="32"/>
          <w:szCs w:val="32"/>
          <w:lang w:val="en-US" w:eastAsia="zh-CN"/>
        </w:rPr>
        <w:t>2028</w:t>
      </w:r>
      <w:r>
        <w:rPr>
          <w:rFonts w:hint="default" w:ascii="Times New Roman" w:hAnsi="Times New Roman" w:eastAsia="仿宋_GB2312" w:cs="Times New Roman"/>
          <w:sz w:val="32"/>
          <w:szCs w:val="32"/>
          <w:lang w:val="en-US" w:eastAsia="zh-CN"/>
        </w:rPr>
        <w:t>条。积极办理答复人大建议、政协提案，满意率100%，办复率100%。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cs="Times New Roman"/>
          <w:sz w:val="32"/>
          <w:szCs w:val="32"/>
        </w:rPr>
      </w:pPr>
      <w:r>
        <w:drawing>
          <wp:anchor distT="0" distB="0" distL="114300" distR="114300" simplePos="0" relativeHeight="251660288" behindDoc="1" locked="0" layoutInCell="1" allowOverlap="1">
            <wp:simplePos x="0" y="0"/>
            <wp:positionH relativeFrom="column">
              <wp:posOffset>271145</wp:posOffset>
            </wp:positionH>
            <wp:positionV relativeFrom="paragraph">
              <wp:posOffset>-2453005</wp:posOffset>
            </wp:positionV>
            <wp:extent cx="4572000" cy="2743200"/>
            <wp:effectExtent l="4445" t="4445" r="14605" b="14605"/>
            <wp:wrapTight wrapText="bothSides">
              <wp:wrapPolygon>
                <wp:start x="-21" y="-35"/>
                <wp:lineTo x="-21" y="21565"/>
                <wp:lineTo x="21579" y="21565"/>
                <wp:lineTo x="21579" y="-35"/>
                <wp:lineTo x="-21" y="-3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9865" cy="2898775"/>
            <wp:effectExtent l="0" t="0" r="6985" b="15875"/>
            <wp:docPr id="5" name="图片 5" descr="360截图2022012415195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0截图20220124151955158"/>
                    <pic:cNvPicPr>
                      <a:picLocks noChangeAspect="1"/>
                    </pic:cNvPicPr>
                  </pic:nvPicPr>
                  <pic:blipFill>
                    <a:blip r:embed="rId5"/>
                    <a:stretch>
                      <a:fillRect/>
                    </a:stretch>
                  </pic:blipFill>
                  <pic:spPr>
                    <a:xfrm>
                      <a:off x="0" y="0"/>
                      <a:ext cx="5269865" cy="2898775"/>
                    </a:xfrm>
                    <a:prstGeom prst="rect">
                      <a:avLst/>
                    </a:prstGeom>
                  </pic:spPr>
                </pic:pic>
              </a:graphicData>
            </a:graphic>
          </wp:inline>
        </w:drawing>
      </w:r>
      <w:r>
        <w:rPr>
          <w:rFonts w:hint="default" w:ascii="Times New Roman" w:hAnsi="Times New Roman" w:eastAsia="仿宋_GB2312" w:cs="Times New Roman"/>
          <w:sz w:val="32"/>
          <w:szCs w:val="32"/>
          <w:lang w:val="en-US" w:eastAsia="zh-CN"/>
        </w:rPr>
        <w:drawing>
          <wp:inline distT="0" distB="0" distL="114300" distR="114300">
            <wp:extent cx="5268595" cy="3083560"/>
            <wp:effectExtent l="0" t="0" r="8255" b="2540"/>
            <wp:docPr id="4" name="图片 4" descr="360截图2022012415234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截图20220124152342089"/>
                    <pic:cNvPicPr>
                      <a:picLocks noChangeAspect="1"/>
                    </pic:cNvPicPr>
                  </pic:nvPicPr>
                  <pic:blipFill>
                    <a:blip r:embed="rId6"/>
                    <a:stretch>
                      <a:fillRect/>
                    </a:stretch>
                  </pic:blipFill>
                  <pic:spPr>
                    <a:xfrm>
                      <a:off x="0" y="0"/>
                      <a:ext cx="5268595" cy="30835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月1日至12月31日，汶上县财政局共收到依申请公开信息2件，其中，通过汶上县依申请平台1件，涉及“三公”经费信息公开；通过现场申请1件，农村土地补偿款问题。以上申请均按程序进行回复并公开相应信息，未收取任何费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（三）政府信息管理情况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1.加强领导，统筹安排部署各项工作。</w:t>
      </w:r>
      <w:r>
        <w:rPr>
          <w:rFonts w:hint="default" w:ascii="Times New Roman" w:hAnsi="Times New Roman" w:eastAsia="仿宋_GB2312" w:cs="Times New Roman"/>
          <w:sz w:val="32"/>
          <w:szCs w:val="32"/>
          <w:lang w:val="en-US" w:eastAsia="zh-CN"/>
        </w:rPr>
        <w:t>调整充实了局政府信息公开领导小组，局办公室制定了汶上县财政局2021年政府信息公开的实施方案，牵头组织研究和解决政府信息公开过程中遇到的问题和处理政府信息公开的日常工作。同时，坚持考核评估，强化监督，健全完善监督机制，使全局政府信息公开工作进一步规范化、制度化。</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2.完善信息公开管理流程。</w:t>
      </w:r>
      <w:r>
        <w:rPr>
          <w:rFonts w:hint="default" w:ascii="Times New Roman" w:hAnsi="Times New Roman" w:eastAsia="仿宋_GB2312" w:cs="Times New Roman"/>
          <w:sz w:val="32"/>
          <w:szCs w:val="32"/>
          <w:lang w:val="en-US" w:eastAsia="zh-CN"/>
        </w:rPr>
        <w:t>建立政府信息公开工作全流程管理机制，设置具体经办人员、科长、法规税政科、办公室四道审核把关机制，重要信息须局主要负责人把关审签，最大限度保证公开内容经得起审查。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（四）政府信息公开平台建设情况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局政务外网为平台，积极推送工作动态、财经资讯等专栏，不断推进公开平台有序发展。提升大力拓展微信应用。以微信公众号为阵地，打造“汶上财政”微信服务号，提高信息发布质量，吸引公众关注、阅读；及时发布财政支持企业发展和保障改善民生主要政策进行认真梳理，让群众找得到、看得懂，努力打造财税政策便企便民说明书，了解信息更加简便、快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9230" cy="3766820"/>
            <wp:effectExtent l="0" t="0" r="7620" b="5080"/>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7"/>
                    <a:stretch>
                      <a:fillRect/>
                    </a:stretch>
                  </pic:blipFill>
                  <pic:spPr>
                    <a:xfrm>
                      <a:off x="0" y="0"/>
                      <a:ext cx="5269230" cy="37668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1.强化考核监督。</w:t>
      </w:r>
      <w:r>
        <w:rPr>
          <w:rFonts w:hint="default" w:ascii="Times New Roman" w:hAnsi="Times New Roman" w:eastAsia="仿宋_GB2312" w:cs="Times New Roman"/>
          <w:sz w:val="32"/>
          <w:szCs w:val="32"/>
          <w:lang w:val="en-US" w:eastAsia="zh-CN"/>
        </w:rPr>
        <w:t>坚持提高站位，将政府信息公开工作，纳入年度绩效考核体系，激发局机关政府信息公开工作积极性和主动性。</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2.完善工作机制。</w:t>
      </w:r>
      <w:r>
        <w:rPr>
          <w:rFonts w:hint="default" w:ascii="Times New Roman" w:hAnsi="Times New Roman" w:eastAsia="仿宋_GB2312" w:cs="Times New Roman"/>
          <w:sz w:val="32"/>
          <w:szCs w:val="32"/>
          <w:lang w:val="en-US" w:eastAsia="zh-CN"/>
        </w:rPr>
        <w:t>制定《2021年政务公开工作实施方案》，明确局机关政府信息公开工作原则、年度任务和工作要求。梳理完成《县财政局政府信息主动公开基本目录》，进一步明确局系统政府信息公开的内容、时限、形式、主体等要素。以网站为依托，明确规定各科室、单位每月外网维护任务，压实各级责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3.抓好队伍培训。</w:t>
      </w:r>
      <w:r>
        <w:rPr>
          <w:rFonts w:hint="default" w:ascii="Times New Roman" w:hAnsi="Times New Roman" w:eastAsia="仿宋_GB2312" w:cs="Times New Roman"/>
          <w:sz w:val="32"/>
          <w:szCs w:val="32"/>
          <w:lang w:val="en-US" w:eastAsia="zh-CN"/>
        </w:rPr>
        <w:t>积极参加县政府组织的政府信息公开工作会议和业务培训，主动对各科室、单位政府信息公开工作负责人进行培训，切实提高对政府信息公开工作的认识水平和工作能力。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bl>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2020年政务公开工作存在的问题：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一是工作队伍建设亟须进一步加强。目前，我局信息公开工作人员配备明显不足，从事政府信息公开的人员属于兼职，制约了信息公开整体工作水平的提高。二是公开形式还有待创新，工作机制还有待完善。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改进情况：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一是加强政务公开队伍建设。在人员紧张的情况下，统筹人员调配和分工管理，要求各科室、单位配备一名政府信息公开工作专管员，明确压实工作责任。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加强政府信息公开工作人员培训。利用周二大讲堂、举办专题培训班等形式，开展政府信息公开人员教育培训，全年共举办各种形式的培训3次，进一步优化了知识结构、提升了解决信息公开工作实际问题的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三是健全完善政府信息公开工作机制。由局办公室牵头印发《政府信息公开工作实施方案》，完善相应工作机制，切实推进政府信息公开工作实现标准化、规范化、信息化和制度化。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2021年政务公开工作存在的问题：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一是公开意识有待进一步提升。部分科室对政务公开工作的重要性认识不到位。</w:t>
      </w:r>
      <w:r>
        <w:rPr>
          <w:rFonts w:hint="default" w:ascii="Times New Roman" w:hAnsi="Times New Roman" w:eastAsia="仿宋_GB2312" w:cs="Times New Roman"/>
          <w:i w:val="0"/>
          <w:iCs w:val="0"/>
          <w:caps w:val="0"/>
          <w:color w:val="333333"/>
          <w:spacing w:val="0"/>
          <w:sz w:val="32"/>
          <w:szCs w:val="32"/>
          <w:lang w:val="en-US" w:eastAsia="zh-CN"/>
        </w:rPr>
        <w:t>二</w:t>
      </w:r>
      <w:r>
        <w:rPr>
          <w:rFonts w:hint="default" w:ascii="Times New Roman" w:hAnsi="Times New Roman" w:eastAsia="仿宋_GB2312" w:cs="Times New Roman"/>
          <w:i w:val="0"/>
          <w:iCs w:val="0"/>
          <w:caps w:val="0"/>
          <w:color w:val="333333"/>
          <w:spacing w:val="0"/>
          <w:sz w:val="32"/>
          <w:szCs w:val="32"/>
        </w:rPr>
        <w:t>是政策解读方式有待进一步拓展，解读方式单一，部分解读材料流于形式。</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改进措施：</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一是制定出台相关工作规范，理清完善工作流程，明确压实各方责任，制定员工激励奖罚措施；适时召开专题工作会议，提高全局上下对信息公开工作的思想认识；加大业务培训工作力度，计划举办专题培训班4次。</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二是按照“谁起草、谁解读”的原则，进一步强化政策性文件解读工作，在解读内容全面、详尽、准确的基础上，采取负责同志撰稿解读，专家解读、政策问答，运用数字化、图表图解、音频视频等形式，拓宽解读渠道，创新解读形式，使解读信息更可视、可读、可感。</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2021年汶上县财政局未收取任何信息处理费。</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r>
        <w:rPr>
          <w:rFonts w:hint="default" w:ascii="楷体_GB2312" w:hAnsi="楷体_GB2312" w:eastAsia="楷体_GB2312" w:cs="楷体_GB2312"/>
          <w:i w:val="0"/>
          <w:iCs w:val="0"/>
          <w:caps w:val="0"/>
          <w:color w:val="333333"/>
          <w:spacing w:val="0"/>
          <w:sz w:val="32"/>
          <w:szCs w:val="32"/>
          <w:lang w:val="en-US"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1.按照时间节点，按时集中统一公开县级政府预决算和县直部门预决算，不断扩大公开范围、细化公开内容，让公众看得懂。</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yellow"/>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2.聚焦政府采购营商环境优化，开通政府采购营商环境专栏，及时更新政府采购最新政策法规，定期公开全县政府采购工作情况。严格按照财政部和省市财政部门信息公开管理要求，加强我县政府采购信息发布管理，所有采购信息必须通过山东省政府采购信息网进行发布，不断扩展信息发布范围，全年我县在省政府采购信息网共发布意向公开227条</w:t>
      </w:r>
      <w:r>
        <w:rPr>
          <w:rFonts w:hint="eastAsia" w:ascii="Times New Roman" w:hAnsi="Times New Roman" w:eastAsia="仿宋_GB2312" w:cs="Times New Roman"/>
          <w:i w:val="0"/>
          <w:iCs w:val="0"/>
          <w:caps w:val="0"/>
          <w:color w:val="333333"/>
          <w:spacing w:val="0"/>
          <w:sz w:val="32"/>
          <w:szCs w:val="32"/>
          <w:lang w:val="en-US" w:eastAsia="zh-CN"/>
        </w:rPr>
        <w:t>，</w:t>
      </w:r>
      <w:r>
        <w:rPr>
          <w:rFonts w:hint="default" w:ascii="Times New Roman" w:hAnsi="Times New Roman" w:eastAsia="仿宋_GB2312" w:cs="Times New Roman"/>
          <w:i w:val="0"/>
          <w:iCs w:val="0"/>
          <w:caps w:val="0"/>
          <w:color w:val="333333"/>
          <w:spacing w:val="0"/>
          <w:sz w:val="32"/>
          <w:szCs w:val="32"/>
          <w:lang w:val="en-US" w:eastAsia="zh-CN"/>
        </w:rPr>
        <w:t>采购及成交信息1735条（采购公告80条</w:t>
      </w:r>
      <w:r>
        <w:rPr>
          <w:rFonts w:hint="eastAsia" w:ascii="Times New Roman" w:hAnsi="Times New Roman" w:eastAsia="仿宋_GB2312" w:cs="Times New Roman"/>
          <w:i w:val="0"/>
          <w:iCs w:val="0"/>
          <w:caps w:val="0"/>
          <w:color w:val="333333"/>
          <w:spacing w:val="0"/>
          <w:sz w:val="32"/>
          <w:szCs w:val="32"/>
          <w:lang w:val="en-US" w:eastAsia="zh-CN"/>
        </w:rPr>
        <w:t>，</w:t>
      </w:r>
      <w:r>
        <w:rPr>
          <w:rFonts w:hint="default" w:ascii="Times New Roman" w:hAnsi="Times New Roman" w:eastAsia="仿宋_GB2312" w:cs="Times New Roman"/>
          <w:i w:val="0"/>
          <w:iCs w:val="0"/>
          <w:caps w:val="0"/>
          <w:color w:val="333333"/>
          <w:spacing w:val="0"/>
          <w:sz w:val="32"/>
          <w:szCs w:val="32"/>
          <w:lang w:val="en-US" w:eastAsia="zh-CN"/>
        </w:rPr>
        <w:t>需求公告138条 </w:t>
      </w:r>
      <w:r>
        <w:rPr>
          <w:rFonts w:hint="eastAsia" w:ascii="Times New Roman" w:hAnsi="Times New Roman" w:eastAsia="仿宋_GB2312" w:cs="Times New Roman"/>
          <w:i w:val="0"/>
          <w:iCs w:val="0"/>
          <w:caps w:val="0"/>
          <w:color w:val="333333"/>
          <w:spacing w:val="0"/>
          <w:sz w:val="32"/>
          <w:szCs w:val="32"/>
          <w:lang w:val="en-US" w:eastAsia="zh-CN"/>
        </w:rPr>
        <w:t>，</w:t>
      </w:r>
      <w:r>
        <w:rPr>
          <w:rFonts w:hint="default" w:ascii="Times New Roman" w:hAnsi="Times New Roman" w:eastAsia="仿宋_GB2312" w:cs="Times New Roman"/>
          <w:i w:val="0"/>
          <w:iCs w:val="0"/>
          <w:caps w:val="0"/>
          <w:color w:val="333333"/>
          <w:spacing w:val="0"/>
          <w:sz w:val="32"/>
          <w:szCs w:val="32"/>
          <w:lang w:val="en-US" w:eastAsia="zh-CN"/>
        </w:rPr>
        <w:t>成交结果公告1517条），发布合同公告405份。</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lang w:val="en-US" w:eastAsia="zh-CN"/>
        </w:rPr>
        <w:t>3.定期公开行政事业性收费和政府性基金目录。根据《政府信息公开条例》第二十条第（八）款要求，结合汶上实际，按季度动态更新行政事业性收费和政府性基金目录清单，详细明确政策依据、执收部门、征收对象、征收标准及资金管理方式等信息，及时在政府门户网站公开，打造政府“阳光收费”。</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lang w:val="en-US" w:eastAsia="zh-CN"/>
        </w:rPr>
        <w:t>4.推进行政权力运行公开。全面梳理了财政部门的行政权力责任事项，将权力清单、责任清单两单融合为权责清单，并在政府信息公开专栏公开。公开行政执法信息。公开行政执法主体、职责、依据等，公布行政执法流程图，及时公示行政执法结果信息。公开“双随机、一公开”监管信息。制定2021年“双随机、一公开”监管随机抽查事项清单，拟定年度抽查计划，及时公开抽查结果信息。</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lang w:val="en-US" w:eastAsia="zh-CN"/>
        </w:rPr>
        <w:t>5.推进国资国企信息公开。按月公开国有企业主要经济效益指标、主要行业盈利、重大变化事项等情况。及时公开国有企业经营情况和业绩考核结果。及时公开企业履行社会责任重点工作情况。</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r>
        <w:rPr>
          <w:rFonts w:hint="default" w:ascii="楷体_GB2312" w:hAnsi="楷体_GB2312" w:eastAsia="楷体_GB2312" w:cs="楷体_GB2312"/>
          <w:i w:val="0"/>
          <w:iCs w:val="0"/>
          <w:caps w:val="0"/>
          <w:color w:val="333333"/>
          <w:spacing w:val="0"/>
          <w:sz w:val="32"/>
          <w:szCs w:val="32"/>
          <w:lang w:val="en-US" w:eastAsia="zh-CN"/>
        </w:rPr>
        <w:t>（三）人大建议、政协提案办理情况。</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lang w:val="en-US" w:eastAsia="zh-CN"/>
        </w:rPr>
        <w:t>我局高度重视人大代表建议和政协委员提案办理，把该项工作作为提升财政管理水平、推动重点工作落实的重要支撑，不断完善机制、落实责任，取得良好成效。2021年，我</w:t>
      </w:r>
      <w:r>
        <w:rPr>
          <w:rFonts w:hint="eastAsia" w:ascii="Times New Roman" w:hAnsi="Times New Roman" w:eastAsia="仿宋_GB2312" w:cs="Times New Roman"/>
          <w:i w:val="0"/>
          <w:iCs w:val="0"/>
          <w:caps w:val="0"/>
          <w:color w:val="333333"/>
          <w:spacing w:val="0"/>
          <w:sz w:val="32"/>
          <w:szCs w:val="32"/>
          <w:highlight w:val="none"/>
          <w:lang w:val="en-US" w:eastAsia="zh-CN"/>
        </w:rPr>
        <w:t>局</w:t>
      </w:r>
      <w:r>
        <w:rPr>
          <w:rFonts w:hint="default" w:ascii="Times New Roman" w:hAnsi="Times New Roman" w:eastAsia="仿宋_GB2312" w:cs="Times New Roman"/>
          <w:i w:val="0"/>
          <w:iCs w:val="0"/>
          <w:caps w:val="0"/>
          <w:color w:val="333333"/>
          <w:spacing w:val="0"/>
          <w:sz w:val="32"/>
          <w:szCs w:val="32"/>
          <w:highlight w:val="none"/>
          <w:lang w:val="en-US" w:eastAsia="zh-CN"/>
        </w:rPr>
        <w:t>共承办人大代表建议和政协委员提案</w:t>
      </w:r>
      <w:r>
        <w:rPr>
          <w:rFonts w:hint="eastAsia" w:ascii="Times New Roman" w:hAnsi="Times New Roman" w:eastAsia="仿宋_GB2312" w:cs="Times New Roman"/>
          <w:i w:val="0"/>
          <w:iCs w:val="0"/>
          <w:caps w:val="0"/>
          <w:color w:val="333333"/>
          <w:spacing w:val="0"/>
          <w:sz w:val="32"/>
          <w:szCs w:val="32"/>
          <w:highlight w:val="none"/>
          <w:lang w:val="en-US" w:eastAsia="zh-CN"/>
        </w:rPr>
        <w:t>4</w:t>
      </w:r>
      <w:r>
        <w:rPr>
          <w:rFonts w:hint="default" w:ascii="Times New Roman" w:hAnsi="Times New Roman" w:eastAsia="仿宋_GB2312" w:cs="Times New Roman"/>
          <w:i w:val="0"/>
          <w:iCs w:val="0"/>
          <w:caps w:val="0"/>
          <w:color w:val="333333"/>
          <w:spacing w:val="0"/>
          <w:sz w:val="32"/>
          <w:szCs w:val="32"/>
          <w:highlight w:val="none"/>
          <w:lang w:val="en-US" w:eastAsia="zh-CN"/>
        </w:rPr>
        <w:t>件。其中，承办县人大代表建议</w:t>
      </w:r>
      <w:r>
        <w:rPr>
          <w:rFonts w:hint="eastAsia" w:ascii="Times New Roman" w:hAnsi="Times New Roman" w:eastAsia="仿宋_GB2312" w:cs="Times New Roman"/>
          <w:i w:val="0"/>
          <w:iCs w:val="0"/>
          <w:caps w:val="0"/>
          <w:color w:val="333333"/>
          <w:spacing w:val="0"/>
          <w:sz w:val="32"/>
          <w:szCs w:val="32"/>
          <w:highlight w:val="none"/>
          <w:lang w:val="en-US" w:eastAsia="zh-CN"/>
        </w:rPr>
        <w:t>4</w:t>
      </w:r>
      <w:r>
        <w:rPr>
          <w:rFonts w:hint="default" w:ascii="Times New Roman" w:hAnsi="Times New Roman" w:eastAsia="仿宋_GB2312" w:cs="Times New Roman"/>
          <w:i w:val="0"/>
          <w:iCs w:val="0"/>
          <w:caps w:val="0"/>
          <w:color w:val="333333"/>
          <w:spacing w:val="0"/>
          <w:sz w:val="32"/>
          <w:szCs w:val="32"/>
          <w:highlight w:val="none"/>
          <w:lang w:val="en-US" w:eastAsia="zh-CN"/>
        </w:rPr>
        <w:t>件</w:t>
      </w:r>
      <w:r>
        <w:rPr>
          <w:rFonts w:hint="eastAsia" w:ascii="Times New Roman" w:hAnsi="Times New Roman" w:eastAsia="仿宋_GB2312" w:cs="Times New Roman"/>
          <w:i w:val="0"/>
          <w:iCs w:val="0"/>
          <w:caps w:val="0"/>
          <w:color w:val="333333"/>
          <w:spacing w:val="0"/>
          <w:sz w:val="32"/>
          <w:szCs w:val="32"/>
          <w:highlight w:val="none"/>
          <w:lang w:val="en-US" w:eastAsia="zh-CN"/>
        </w:rPr>
        <w:t>。</w:t>
      </w:r>
      <w:r>
        <w:rPr>
          <w:rFonts w:hint="default" w:ascii="Times New Roman" w:hAnsi="Times New Roman" w:eastAsia="仿宋_GB2312" w:cs="Times New Roman"/>
          <w:i w:val="0"/>
          <w:iCs w:val="0"/>
          <w:caps w:val="0"/>
          <w:color w:val="333333"/>
          <w:spacing w:val="0"/>
          <w:sz w:val="32"/>
          <w:szCs w:val="32"/>
          <w:highlight w:val="none"/>
          <w:lang w:val="en-US" w:eastAsia="zh-CN"/>
        </w:rPr>
        <w:t>截至目前，所有</w:t>
      </w:r>
      <w:r>
        <w:rPr>
          <w:rFonts w:hint="eastAsia" w:ascii="Times New Roman" w:hAnsi="Times New Roman" w:eastAsia="仿宋_GB2312" w:cs="Times New Roman"/>
          <w:i w:val="0"/>
          <w:iCs w:val="0"/>
          <w:caps w:val="0"/>
          <w:color w:val="333333"/>
          <w:spacing w:val="0"/>
          <w:sz w:val="32"/>
          <w:szCs w:val="32"/>
          <w:highlight w:val="none"/>
          <w:lang w:val="en-US" w:eastAsia="zh-CN"/>
        </w:rPr>
        <w:t>建议</w:t>
      </w:r>
      <w:r>
        <w:rPr>
          <w:rFonts w:hint="default" w:ascii="Times New Roman" w:hAnsi="Times New Roman" w:eastAsia="仿宋_GB2312" w:cs="Times New Roman"/>
          <w:i w:val="0"/>
          <w:iCs w:val="0"/>
          <w:caps w:val="0"/>
          <w:color w:val="333333"/>
          <w:spacing w:val="0"/>
          <w:sz w:val="32"/>
          <w:szCs w:val="32"/>
          <w:highlight w:val="none"/>
          <w:lang w:val="en-US" w:eastAsia="zh-CN"/>
        </w:rPr>
        <w:t>已在规定时限内办复完毕，并向</w:t>
      </w:r>
      <w:r>
        <w:rPr>
          <w:rFonts w:hint="eastAsia" w:ascii="Times New Roman" w:hAnsi="Times New Roman" w:eastAsia="仿宋_GB2312" w:cs="Times New Roman"/>
          <w:i w:val="0"/>
          <w:iCs w:val="0"/>
          <w:caps w:val="0"/>
          <w:color w:val="333333"/>
          <w:spacing w:val="0"/>
          <w:sz w:val="32"/>
          <w:szCs w:val="32"/>
          <w:highlight w:val="none"/>
          <w:lang w:val="en-US" w:eastAsia="zh-CN"/>
        </w:rPr>
        <w:t>代表们</w:t>
      </w:r>
      <w:r>
        <w:rPr>
          <w:rFonts w:hint="default" w:ascii="Times New Roman" w:hAnsi="Times New Roman" w:eastAsia="仿宋_GB2312" w:cs="Times New Roman"/>
          <w:i w:val="0"/>
          <w:iCs w:val="0"/>
          <w:caps w:val="0"/>
          <w:color w:val="333333"/>
          <w:spacing w:val="0"/>
          <w:sz w:val="32"/>
          <w:szCs w:val="32"/>
          <w:highlight w:val="none"/>
          <w:lang w:val="en-US" w:eastAsia="zh-CN"/>
        </w:rPr>
        <w:t>作出了书面答复</w:t>
      </w:r>
      <w:r>
        <w:rPr>
          <w:rFonts w:hint="eastAsia" w:ascii="Times New Roman" w:hAnsi="Times New Roman" w:eastAsia="仿宋_GB2312" w:cs="Times New Roman"/>
          <w:i w:val="0"/>
          <w:iCs w:val="0"/>
          <w:caps w:val="0"/>
          <w:color w:val="333333"/>
          <w:spacing w:val="0"/>
          <w:sz w:val="32"/>
          <w:szCs w:val="32"/>
          <w:highlight w:val="none"/>
          <w:lang w:val="en-US" w:eastAsia="zh-CN"/>
        </w:rPr>
        <w:t>。所有答复</w:t>
      </w:r>
      <w:r>
        <w:rPr>
          <w:rFonts w:hint="default" w:ascii="Times New Roman" w:hAnsi="Times New Roman" w:eastAsia="仿宋_GB2312" w:cs="Times New Roman"/>
          <w:i w:val="0"/>
          <w:iCs w:val="0"/>
          <w:caps w:val="0"/>
          <w:color w:val="333333"/>
          <w:spacing w:val="0"/>
          <w:sz w:val="32"/>
          <w:szCs w:val="32"/>
          <w:highlight w:val="none"/>
          <w:lang w:val="en-US" w:eastAsia="zh-CN"/>
        </w:rPr>
        <w:t>均通过汶上县人民政府网站政府信息公开栏目公开。</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r>
        <w:drawing>
          <wp:anchor distT="0" distB="0" distL="114300" distR="114300" simplePos="0" relativeHeight="251659264" behindDoc="1" locked="0" layoutInCell="1" allowOverlap="1">
            <wp:simplePos x="0" y="0"/>
            <wp:positionH relativeFrom="column">
              <wp:posOffset>716280</wp:posOffset>
            </wp:positionH>
            <wp:positionV relativeFrom="paragraph">
              <wp:posOffset>85090</wp:posOffset>
            </wp:positionV>
            <wp:extent cx="3910330" cy="2435225"/>
            <wp:effectExtent l="5080" t="4445" r="8890" b="17780"/>
            <wp:wrapTight wrapText="bothSides">
              <wp:wrapPolygon>
                <wp:start x="-28" y="-39"/>
                <wp:lineTo x="-28" y="21420"/>
                <wp:lineTo x="21544" y="21420"/>
                <wp:lineTo x="21544" y="-39"/>
                <wp:lineTo x="-28" y="-39"/>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楷体_GB2312" w:hAnsi="楷体_GB2312" w:eastAsia="楷体_GB2312" w:cs="楷体_GB2312"/>
          <w:i w:val="0"/>
          <w:iCs w:val="0"/>
          <w:caps w:val="0"/>
          <w:color w:val="333333"/>
          <w:spacing w:val="0"/>
          <w:sz w:val="32"/>
          <w:szCs w:val="32"/>
          <w:lang w:val="en-US" w:eastAsia="zh-CN"/>
        </w:rPr>
      </w:pPr>
      <w:r>
        <w:rPr>
          <w:rFonts w:hint="default" w:ascii="楷体_GB2312" w:hAnsi="楷体_GB2312" w:eastAsia="楷体_GB2312" w:cs="楷体_GB2312"/>
          <w:i w:val="0"/>
          <w:iCs w:val="0"/>
          <w:caps w:val="0"/>
          <w:color w:val="333333"/>
          <w:spacing w:val="0"/>
          <w:sz w:val="32"/>
          <w:szCs w:val="32"/>
          <w:lang w:val="en-US" w:eastAsia="zh-CN"/>
        </w:rPr>
        <w:t>（四）政务公开工作创新情况</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lang w:val="en-US" w:eastAsia="zh-CN"/>
        </w:rPr>
        <w:t>在政务公开形式上，我局结合全年工作，突出重点，讲求实效，不搞形式，以群众看得见、看得清、看得懂、能监督为原则，采取多形式多渠道向社会广泛工作。</w:t>
      </w:r>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54459"/>
    <w:rsid w:val="04A325CE"/>
    <w:rsid w:val="0AFF2473"/>
    <w:rsid w:val="0E3A7018"/>
    <w:rsid w:val="1BF048AB"/>
    <w:rsid w:val="25037628"/>
    <w:rsid w:val="2BAB2B2D"/>
    <w:rsid w:val="2BD711D3"/>
    <w:rsid w:val="2C7616E0"/>
    <w:rsid w:val="37D2209E"/>
    <w:rsid w:val="3B60373B"/>
    <w:rsid w:val="3DA372CA"/>
    <w:rsid w:val="45421B2E"/>
    <w:rsid w:val="46A54459"/>
    <w:rsid w:val="4EB314B6"/>
    <w:rsid w:val="65686151"/>
    <w:rsid w:val="678C5F60"/>
    <w:rsid w:val="71197015"/>
    <w:rsid w:val="7198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信息公开数量</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[工作簿1]Sheet1!$B$1</c:f>
              <c:strCache>
                <c:ptCount val="1"/>
                <c:pt idx="0">
                  <c:v>公开数量</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[工作簿1]Sheet1!$A$2:$A$4</c:f>
              <c:strCache>
                <c:ptCount val="3"/>
                <c:pt idx="0">
                  <c:v>网站专栏</c:v>
                </c:pt>
                <c:pt idx="1">
                  <c:v>微信公众平台</c:v>
                </c:pt>
                <c:pt idx="2">
                  <c:v>其他平台</c:v>
                </c:pt>
              </c:strCache>
            </c:strRef>
          </c:cat>
          <c:val>
            <c:numRef>
              <c:f>[工作簿1]Sheet1!$B$2:$B$4</c:f>
              <c:numCache>
                <c:formatCode>General</c:formatCode>
                <c:ptCount val="3"/>
                <c:pt idx="0">
                  <c:v>1186</c:v>
                </c:pt>
                <c:pt idx="1">
                  <c:v>128</c:v>
                </c:pt>
                <c:pt idx="2">
                  <c:v>2028</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人大建议、政协提案办理情况</a:t>
            </a:r>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[工作簿1]Sheet1!$A$1:$A$2</c:f>
              <c:strCache>
                <c:ptCount val="2"/>
                <c:pt idx="0">
                  <c:v>人大建议</c:v>
                </c:pt>
                <c:pt idx="1">
                  <c:v>政协提案</c:v>
                </c:pt>
              </c:strCache>
            </c:strRef>
          </c:cat>
          <c:val>
            <c:numRef>
              <c:f>[工作簿1]Sheet1!$B$1:$B$2</c:f>
              <c:numCache>
                <c:formatCode>General</c:formatCode>
                <c:ptCount val="2"/>
                <c:pt idx="0">
                  <c:v>4</c:v>
                </c:pt>
                <c:pt idx="1">
                  <c:v>0</c:v>
                </c:pt>
              </c:numCache>
            </c:numRef>
          </c:val>
        </c:ser>
        <c:dLbls>
          <c:showLegendKey val="0"/>
          <c:showVal val="1"/>
          <c:showCatName val="0"/>
          <c:showSerName val="0"/>
          <c:showPercent val="0"/>
          <c:showBubbleSize val="0"/>
        </c:dLbls>
        <c:gapWidth val="164"/>
        <c:overlap val="-22"/>
        <c:axId val="102498306"/>
        <c:axId val="384991113"/>
      </c:barChart>
      <c:catAx>
        <c:axId val="10249830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991113"/>
        <c:crosses val="autoZero"/>
        <c:auto val="1"/>
        <c:lblAlgn val="ctr"/>
        <c:lblOffset val="100"/>
        <c:noMultiLvlLbl val="0"/>
      </c:catAx>
      <c:valAx>
        <c:axId val="38499111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983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2022-01-18T08:55:00Z</dcterms:created>
  <dc:creator>淘淘爸</dc:creator>
  <cp:lastModifiedBy>淘淘爸</cp:lastModifiedBy>
  <dcterms:modified xsi:type="dcterms:W3CDTF">2022-02-07T08:14:23Z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3B6E14060D01405BBB5BF188184DFA16</vt:lpwstr>
  </property>
</Properties>
</file>