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96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Toc5918"/>
      <w:bookmarkStart w:id="1" w:name="_Toc27947"/>
      <w:bookmarkStart w:id="2" w:name="_Toc15287"/>
      <w:bookmarkStart w:id="224" w:name="_GoBack"/>
      <w:bookmarkEnd w:id="224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汶上县文化和旅游局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部门预算</w:t>
      </w:r>
    </w:p>
    <w:p w14:paraId="3C704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3" w:name="_Toc30666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整体绩效评价报告</w:t>
      </w:r>
      <w:bookmarkEnd w:id="3"/>
    </w:p>
    <w:p w14:paraId="67E79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bookmarkEnd w:id="0"/>
    <w:bookmarkEnd w:id="1"/>
    <w:bookmarkEnd w:id="2"/>
    <w:p w14:paraId="1E7D8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  <w:lang w:val="en-US" w:eastAsia="zh-CN"/>
        </w:rPr>
      </w:pPr>
      <w:bookmarkStart w:id="4" w:name="_Toc8990"/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  <w:lang w:val="en-US" w:eastAsia="zh-CN"/>
        </w:rPr>
        <w:t>一、基本情况</w:t>
      </w:r>
      <w:bookmarkEnd w:id="4"/>
    </w:p>
    <w:p w14:paraId="179B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</w:pPr>
      <w:bookmarkStart w:id="5" w:name="_Toc26647"/>
      <w:bookmarkStart w:id="6" w:name="_Toc14858"/>
      <w:bookmarkStart w:id="7" w:name="_Toc22925"/>
      <w:r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  <w:t>（一）部门</w:t>
      </w:r>
      <w:bookmarkEnd w:id="5"/>
      <w:r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  <w:t>概况</w:t>
      </w:r>
      <w:bookmarkEnd w:id="6"/>
    </w:p>
    <w:p w14:paraId="3A9D4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bookmarkStart w:id="8" w:name="_Toc20040"/>
      <w:bookmarkStart w:id="9" w:name="_Toc21499"/>
      <w:bookmarkStart w:id="10" w:name="_Toc14342"/>
      <w:bookmarkStart w:id="11" w:name="_Toc17776"/>
      <w:bookmarkStart w:id="12" w:name="_Toc26484"/>
      <w:bookmarkStart w:id="13" w:name="_Toc22846"/>
      <w:bookmarkStart w:id="14" w:name="_Toc20410"/>
      <w:bookmarkStart w:id="15" w:name="_Toc17786"/>
      <w:bookmarkStart w:id="16" w:name="_Toc9594"/>
      <w:bookmarkStart w:id="17" w:name="_Toc15068"/>
      <w:bookmarkStart w:id="18" w:name="_Toc26438"/>
      <w:bookmarkStart w:id="19" w:name="_Toc6302"/>
      <w:bookmarkStart w:id="20" w:name="_Toc31556"/>
      <w:bookmarkStart w:id="21" w:name="_Toc27469"/>
      <w:bookmarkStart w:id="22" w:name="_Toc22412"/>
      <w:bookmarkStart w:id="23" w:name="_Toc24277"/>
      <w:bookmarkStart w:id="24" w:name="_Toc18856"/>
      <w:bookmarkStart w:id="25" w:name="_Toc28399"/>
      <w:bookmarkStart w:id="26" w:name="_Toc25902"/>
      <w:bookmarkStart w:id="27" w:name="_Toc20751"/>
      <w:bookmarkStart w:id="28" w:name="_Toc22376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1.部门架构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291F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县文旅局是县政府工作部门，为正科级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机关行政编制14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名。设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局长（县新闻出版广电局局长、县文物局局长）1名，副局长、县新闻出版广电局副局长1名，副局长、县文物局副局长1名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内设10个科室，分别为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办公室、机关党建科、财务科、公共文化服务艺术科、产业发展科、资源开发与市场推广科、安全监督管理办公室（市场管理科）、新闻出版广播影视科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博物馆与社会文物科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文物保护与考古科。</w:t>
      </w:r>
    </w:p>
    <w:p w14:paraId="71E42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bookmarkStart w:id="29" w:name="_Toc24646"/>
      <w:bookmarkStart w:id="30" w:name="_Toc686"/>
      <w:bookmarkStart w:id="31" w:name="_Toc3792"/>
      <w:bookmarkStart w:id="32" w:name="_Toc23696"/>
      <w:bookmarkStart w:id="33" w:name="_Toc3997"/>
      <w:bookmarkStart w:id="34" w:name="_Toc6171"/>
      <w:bookmarkStart w:id="35" w:name="_Toc3262"/>
      <w:bookmarkStart w:id="36" w:name="_Toc26102"/>
      <w:bookmarkStart w:id="37" w:name="_Toc12041"/>
      <w:bookmarkStart w:id="38" w:name="_Toc5962"/>
      <w:bookmarkStart w:id="39" w:name="_Toc8644"/>
      <w:bookmarkStart w:id="40" w:name="_Toc20618"/>
      <w:bookmarkStart w:id="41" w:name="_Toc1304"/>
      <w:bookmarkStart w:id="42" w:name="_Toc17375"/>
      <w:bookmarkStart w:id="43" w:name="_Toc21061"/>
      <w:bookmarkStart w:id="44" w:name="_Toc878"/>
      <w:bookmarkStart w:id="45" w:name="_Toc28890"/>
      <w:bookmarkStart w:id="46" w:name="_Toc31321"/>
      <w:bookmarkStart w:id="47" w:name="_Toc23360"/>
      <w:bookmarkStart w:id="48" w:name="_Toc23986"/>
      <w:bookmarkStart w:id="49" w:name="_Toc3560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2.部门职能</w:t>
      </w:r>
      <w:bookmarkEnd w:id="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45EC4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“三定方案”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具体职责如下：</w:t>
      </w:r>
    </w:p>
    <w:p w14:paraId="062A959E">
      <w:pPr>
        <w:pStyle w:val="2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贯彻落实文化、旅游、文物、新闻出版、著作权、广播影视方面法律法规、方针政策，统筹规划全县文化事业、文化产业、旅游业、文物保护事业、新闻出版业、广播影视业发展，管理全县性重大文化、旅游、新闻出版、广播影视活动；指导重点文化和旅游设施建设、推进全域旅游、管理全县文艺事业，指导、推进全县文化、旅游科技创新发展、艺术创作生产，负责全县公共文化事业发展，推进公共文化服务体系建设、旅游公共服务建设，承担弘扬优秀传统文化相关工作，组织实施文化和旅游资源普查、挖掘、保护和利用工作，指导全县文化、旅游、新闻出版、广播影视市场发展，负责管理和指导全县新闻出版工作，负责对全县各类广播影视机构进行业务指导和行业监管，负责管理和指导全县文物工作，研究处理文物保护和安全管理重大问题，负责管理和指导全县考古工作，指导全县文化市场综合执法。</w:t>
      </w:r>
    </w:p>
    <w:p w14:paraId="2E1A2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bookmarkStart w:id="50" w:name="_Toc16261"/>
      <w:bookmarkStart w:id="51" w:name="_Toc1405"/>
      <w:bookmarkStart w:id="52" w:name="_Toc15612"/>
      <w:bookmarkStart w:id="53" w:name="_Toc31969"/>
      <w:bookmarkStart w:id="54" w:name="_Toc19294"/>
      <w:bookmarkStart w:id="55" w:name="_Toc10329"/>
      <w:bookmarkStart w:id="56" w:name="_Toc20865"/>
      <w:bookmarkStart w:id="57" w:name="_Toc32040"/>
      <w:bookmarkStart w:id="58" w:name="_Toc18503"/>
      <w:bookmarkStart w:id="59" w:name="_Toc20970"/>
      <w:bookmarkStart w:id="60" w:name="_Toc29139"/>
      <w:bookmarkStart w:id="61" w:name="_Toc14422"/>
      <w:bookmarkStart w:id="62" w:name="_Toc24776"/>
      <w:bookmarkStart w:id="63" w:name="_Toc19348"/>
      <w:bookmarkStart w:id="64" w:name="_Toc31643"/>
      <w:bookmarkStart w:id="65" w:name="_Toc954"/>
      <w:bookmarkStart w:id="66" w:name="_Toc20890"/>
      <w:bookmarkStart w:id="67" w:name="_Toc9525"/>
      <w:bookmarkStart w:id="68" w:name="_Toc903"/>
      <w:bookmarkStart w:id="69" w:name="_Toc15380"/>
      <w:bookmarkStart w:id="70" w:name="_Toc10638"/>
      <w:bookmarkStart w:id="71" w:name="_Toc6687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3.部门收支预决算情况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390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收入预决算情况</w:t>
      </w:r>
    </w:p>
    <w:p w14:paraId="32266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年度年初预算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4882.46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万元，全年预算数为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4882.46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万元，收入决算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4882.46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万元。其中，一般公共预算财政拨款收入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2446.87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50.12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%，政府性基金预算财政拨款收入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2435.59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49.88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</w:t>
      </w:r>
    </w:p>
    <w:p w14:paraId="0668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年度支出预决算情况</w:t>
      </w:r>
    </w:p>
    <w:p w14:paraId="428D7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年度支出预算为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4882.46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万元，全年预算为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4882.46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4882.46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万元，预算执行率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%。其中，基本支出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1223.12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25.05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%，项目支出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3659.34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74.95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</w:t>
      </w:r>
      <w:bookmarkStart w:id="72" w:name="_Toc11752"/>
    </w:p>
    <w:p w14:paraId="3645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）“三公”经费、会议费、培训费预决算情况</w:t>
      </w:r>
    </w:p>
    <w:p w14:paraId="0CC23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年度“三公”经费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年初预算为5.71万元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，预算控制率为100%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。会议费年初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未列预算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，年终决算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万元，培训费年初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未列预算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，年终决算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 w14:paraId="49F11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县级资金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项目支出预决算及调整情况</w:t>
      </w:r>
    </w:p>
    <w:p w14:paraId="54E7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县级资金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1441.18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涉及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个项目。其中，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个重点项目</w:t>
      </w:r>
      <w:r>
        <w:rPr>
          <w:rStyle w:val="3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ootnoteReference w:id="0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1233.18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万元，重点项目保障率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85.57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县级资金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支出全年预算数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1441.18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万元，预算调整率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，决算数1103.31万元，执行率76.56%。</w:t>
      </w:r>
    </w:p>
    <w:p w14:paraId="66072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）政府采购情况</w:t>
      </w:r>
      <w:bookmarkEnd w:id="72"/>
    </w:p>
    <w:p w14:paraId="0A325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</w:pPr>
      <w:bookmarkStart w:id="73" w:name="_Toc7389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年度政府采购预算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570.87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万元，决算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567.62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万元，执行率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99.43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%，采购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3.25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万元。</w:t>
      </w:r>
    </w:p>
    <w:p w14:paraId="15B9A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highlight w:val="none"/>
          <w:lang w:val="en-US" w:eastAsia="zh-CN"/>
        </w:rPr>
        <w:t>）部门资产情况</w:t>
      </w:r>
      <w:bookmarkEnd w:id="73"/>
    </w:p>
    <w:p w14:paraId="53E38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部门资产合计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1487.53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万元；固定资产净值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834.00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56.07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%。单位价值100万元以上专用设备1台（件、套），单位价值50万元以上通用设备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台（件、套）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单位价值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万元以上通用设备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台（件、套）。</w:t>
      </w:r>
    </w:p>
    <w:p w14:paraId="24C4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年12月31日，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共有车辆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辆。其中，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游览4轮车2辆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公务用车3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文化流动服务车1辆、小型客车1辆，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主要满足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文旅宣传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DB42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bookmarkStart w:id="74" w:name="_Toc7300"/>
      <w:bookmarkStart w:id="75" w:name="_Toc25351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（二）部门绩效目标</w:t>
      </w:r>
      <w:bookmarkEnd w:id="74"/>
      <w:bookmarkEnd w:id="75"/>
    </w:p>
    <w:p w14:paraId="02BFC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bookmarkStart w:id="76" w:name="_Toc31900"/>
      <w:bookmarkStart w:id="77" w:name="_Toc16120"/>
      <w:bookmarkStart w:id="78" w:name="_Toc26325"/>
      <w:bookmarkStart w:id="79" w:name="_Toc11362"/>
      <w:bookmarkStart w:id="80" w:name="_Toc15388"/>
      <w:bookmarkStart w:id="81" w:name="_Toc31985"/>
      <w:bookmarkStart w:id="82" w:name="_Toc22507"/>
      <w:bookmarkStart w:id="83" w:name="_Toc22008"/>
      <w:bookmarkStart w:id="84" w:name="_Toc12637"/>
      <w:bookmarkStart w:id="85" w:name="_Toc6893"/>
      <w:bookmarkStart w:id="86" w:name="_Toc13864"/>
      <w:bookmarkStart w:id="87" w:name="_Toc11215"/>
      <w:bookmarkStart w:id="88" w:name="_Toc6443"/>
      <w:bookmarkStart w:id="89" w:name="_Toc17068"/>
      <w:bookmarkStart w:id="90" w:name="_Toc6386"/>
      <w:bookmarkStart w:id="91" w:name="_Toc2204"/>
      <w:bookmarkStart w:id="92" w:name="_Toc24074"/>
      <w:bookmarkStart w:id="93" w:name="_Toc5811"/>
      <w:bookmarkStart w:id="94" w:name="_Toc19589"/>
      <w:bookmarkStart w:id="95" w:name="_Toc15794"/>
      <w:bookmarkStart w:id="96" w:name="_Toc11120"/>
      <w:bookmarkStart w:id="97" w:name="_Toc2847"/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.年度整体绩效目标</w:t>
      </w:r>
      <w:bookmarkEnd w:id="76"/>
      <w:bookmarkEnd w:id="77"/>
      <w:bookmarkEnd w:id="78"/>
      <w:bookmarkEnd w:id="79"/>
      <w:bookmarkEnd w:id="80"/>
    </w:p>
    <w:p w14:paraId="6A071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年部门预算整体绩效目标编制要求，围绕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县委、县政府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重大决策部署精神，编制整体绩效目标表。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2023年度部门整体绩效目标概述如下：</w:t>
      </w:r>
    </w:p>
    <w:p w14:paraId="0D31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通过推进公共文化服务体系建设，实现推进基本公共文化服务标准化、均等化，达到提高服务效能的目的。</w:t>
      </w:r>
    </w:p>
    <w:p w14:paraId="4F75E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通过指导协调全县文物管理、保护、抢救、发掘、研究、利用、宣传等工作，维护保养各级文物保护单位，达到有利于社会可持续发展，提高服务满意度的目的。</w:t>
      </w:r>
    </w:p>
    <w:p w14:paraId="26E1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32"/>
          <w:szCs w:val="32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通过指导全市文化和旅游市场发展、对文化和旅游市场经营进行行业监管，实现推进旅游行业标准化建设、加强旅游景区规范化管理，达到提高旅游服务的标准化、精细化水平的目的。</w:t>
      </w:r>
    </w:p>
    <w:p w14:paraId="5AAAD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32"/>
          <w:szCs w:val="32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通过拟订发展规划全县新闻出版业、广播影视业发展，组织实施并加强监管，以实现推进广播影视公共服务建设、深入实施文化惠民工程的目的。 </w:t>
      </w:r>
    </w:p>
    <w:p w14:paraId="734D4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32"/>
          <w:szCs w:val="32"/>
          <w:lang w:val="en-US" w:eastAsia="zh-CN"/>
        </w:rPr>
        <w:t>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通过依法负责全县博物馆的设立备案和监督管理工作、管理全县可移动文物资源，以实现弘扬优秀传统文化、加大文物传承保护力度、完善博物馆服务体系的目的。                                                                                                           </w:t>
      </w:r>
    </w:p>
    <w:p w14:paraId="50880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32"/>
          <w:szCs w:val="32"/>
          <w:lang w:val="en-US" w:eastAsia="zh-CN"/>
        </w:rPr>
        <w:t>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通过对文化和旅游市场经营进行行业监管，以实现改善城市文化环境，打造文明城市的目的。</w:t>
      </w:r>
    </w:p>
    <w:p w14:paraId="0D4F6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bookmarkStart w:id="98" w:name="_Toc8982"/>
      <w:bookmarkStart w:id="99" w:name="_Toc21937"/>
      <w:bookmarkStart w:id="100" w:name="_Toc30222"/>
      <w:bookmarkStart w:id="101" w:name="_Toc30797"/>
      <w:bookmarkStart w:id="102" w:name="_Toc21822"/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.年度工作任务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2428B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《2023年汶上县政府工作报告》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共梳理出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项年度任务要点。202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工作任务要点及重点工作情况详见表1-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3EF324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表1-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县文旅局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年度工作任务要点及重点工作情况</w:t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26"/>
        <w:gridCol w:w="4160"/>
        <w:gridCol w:w="1500"/>
      </w:tblGrid>
      <w:tr w14:paraId="553A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  <w:jc w:val="center"/>
        </w:trPr>
        <w:tc>
          <w:tcPr>
            <w:tcW w:w="875" w:type="dxa"/>
            <w:shd w:val="clear" w:color="auto" w:fill="BEBEBE" w:themeFill="background1" w:themeFillShade="BF"/>
            <w:vAlign w:val="top"/>
          </w:tcPr>
          <w:p w14:paraId="7D8D896A">
            <w:pPr>
              <w:pStyle w:val="6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26" w:type="dxa"/>
            <w:shd w:val="clear" w:color="auto" w:fill="BEBEBE" w:themeFill="background1" w:themeFillShade="BF"/>
            <w:vAlign w:val="center"/>
          </w:tcPr>
          <w:p w14:paraId="4D5FD740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年度工作要点</w:t>
            </w:r>
          </w:p>
        </w:tc>
        <w:tc>
          <w:tcPr>
            <w:tcW w:w="4160" w:type="dxa"/>
            <w:shd w:val="clear" w:color="auto" w:fill="BEBEBE" w:themeFill="background1" w:themeFillShade="BF"/>
            <w:vAlign w:val="center"/>
          </w:tcPr>
          <w:p w14:paraId="6DF5E8E8"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部门重点任务</w:t>
            </w:r>
          </w:p>
        </w:tc>
        <w:tc>
          <w:tcPr>
            <w:tcW w:w="1500" w:type="dxa"/>
            <w:shd w:val="clear" w:color="auto" w:fill="BEBEBE" w:themeFill="background1" w:themeFillShade="BF"/>
            <w:vAlign w:val="center"/>
          </w:tcPr>
          <w:p w14:paraId="56BA3C22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任务来源</w:t>
            </w:r>
          </w:p>
        </w:tc>
      </w:tr>
      <w:tr w14:paraId="5427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875" w:type="dxa"/>
            <w:vAlign w:val="center"/>
          </w:tcPr>
          <w:p w14:paraId="7A99E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vAlign w:val="center"/>
          </w:tcPr>
          <w:p w14:paraId="5383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加快大运河国家文化公园、大汶河文化旅游带等项目建设，构建“运河遗风、禅运中都、汶水乡情”全域旅游链条，争创省级文旅康养示范县。</w:t>
            </w:r>
          </w:p>
        </w:tc>
        <w:tc>
          <w:tcPr>
            <w:tcW w:w="4160" w:type="dxa"/>
            <w:vAlign w:val="center"/>
          </w:tcPr>
          <w:p w14:paraId="3869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大运河南旺枢纽数字化及展示工程建设，构建起集管理监测、文化研究、展示传播、学习教育、休闲娱乐等一体化的数字云平台；推进大运河十里闸保护展示工程，保护展示方案已获省文旅厅核准。稳步推进大运河南旺枢纽世界文化遗产标识系统项目。深入挖掘大运河南旺枢纽文化资源和历史底蕴，围绕旅游交通、游览、旅游安全等方面，全面提升大运河南旺枢纽国家考古遗址公园旅游功能。做好考古遗址公园设备的日常巡查和保养维护，实现常态化开放。积极开展政德教育和研学活动。</w:t>
            </w:r>
          </w:p>
          <w:p w14:paraId="0C7E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大力推进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年度省级文旅康养强县创建工作，分析存在的短板和不足，重新研究谋划创建工作思路和工作措施，推动全县文旅康养产业高质量融合发展。</w:t>
            </w:r>
          </w:p>
        </w:tc>
        <w:tc>
          <w:tcPr>
            <w:tcW w:w="1500" w:type="dxa"/>
            <w:vAlign w:val="center"/>
          </w:tcPr>
          <w:p w14:paraId="5B21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年汶上县政府工作报告</w:t>
            </w:r>
          </w:p>
        </w:tc>
      </w:tr>
      <w:tr w14:paraId="65E2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875" w:type="dxa"/>
            <w:vAlign w:val="center"/>
          </w:tcPr>
          <w:p w14:paraId="23F0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vAlign w:val="center"/>
          </w:tcPr>
          <w:p w14:paraId="1C00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老城区突出历史古城韵味，重点推进宝相寺片区开发，打造特色历史文化旅游街区。</w:t>
            </w:r>
          </w:p>
        </w:tc>
        <w:tc>
          <w:tcPr>
            <w:tcW w:w="4160" w:type="dxa"/>
            <w:vAlign w:val="center"/>
          </w:tcPr>
          <w:p w14:paraId="40F0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为挖掘老城区历史古城韵味，推动宝相寺片区开发，打造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缘起中都文创园项目。</w:t>
            </w:r>
          </w:p>
        </w:tc>
        <w:tc>
          <w:tcPr>
            <w:tcW w:w="1500" w:type="dxa"/>
            <w:vAlign w:val="center"/>
          </w:tcPr>
          <w:p w14:paraId="24B5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年汶上县政府工作报告</w:t>
            </w:r>
          </w:p>
        </w:tc>
      </w:tr>
      <w:tr w14:paraId="5C6D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875" w:type="dxa"/>
            <w:vAlign w:val="center"/>
          </w:tcPr>
          <w:p w14:paraId="5238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vAlign w:val="center"/>
          </w:tcPr>
          <w:p w14:paraId="6C65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东北城区立足生态优势，加快推进生态旅游、颐养康养项目开发，打造医养休游示范区。</w:t>
            </w:r>
          </w:p>
        </w:tc>
        <w:tc>
          <w:tcPr>
            <w:tcW w:w="4160" w:type="dxa"/>
            <w:vAlign w:val="center"/>
          </w:tcPr>
          <w:p w14:paraId="2AC0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汶上街道莲花湖片区为重点，全力支持片区争创省级文旅康养融合发展示范区，以片区创建带动县域发展，全力构筑全县文旅康养产业大格局。一是纵深推进创建工作，制定《关于推动莲花湖片区创建省级文旅康养融合发展示范区的实施意见》，组织召开创建工作部署会议，就示范区创建工作任务进行安排部署。二是加大对上争取力度，多次向市局汇报工作，对上争取省级文旅康养示范区创建工作。</w:t>
            </w:r>
          </w:p>
        </w:tc>
        <w:tc>
          <w:tcPr>
            <w:tcW w:w="1500" w:type="dxa"/>
            <w:vAlign w:val="center"/>
          </w:tcPr>
          <w:p w14:paraId="08E3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年汶上县政府工作报告</w:t>
            </w:r>
          </w:p>
        </w:tc>
      </w:tr>
      <w:tr w14:paraId="6969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875" w:type="dxa"/>
            <w:vAlign w:val="center"/>
          </w:tcPr>
          <w:p w14:paraId="7671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vAlign w:val="center"/>
          </w:tcPr>
          <w:p w14:paraId="1FED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完成送戏下乡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</w:rPr>
              <w:t>456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场、公益电影放映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</w:rPr>
              <w:t>4464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场、科普活动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场，建设“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分钟文化圈”。</w:t>
            </w:r>
          </w:p>
        </w:tc>
        <w:tc>
          <w:tcPr>
            <w:tcW w:w="4160" w:type="dxa"/>
            <w:vAlign w:val="center"/>
          </w:tcPr>
          <w:p w14:paraId="6EDC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完成送戏下乡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</w:rPr>
              <w:t>456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场、公益电影放映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</w:rPr>
              <w:t>4464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场、科普活动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场，建设“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分钟文化圈”。</w:t>
            </w:r>
          </w:p>
        </w:tc>
        <w:tc>
          <w:tcPr>
            <w:tcW w:w="1500" w:type="dxa"/>
            <w:vAlign w:val="center"/>
          </w:tcPr>
          <w:p w14:paraId="6BAB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年汶上县政府工作报告</w:t>
            </w:r>
          </w:p>
        </w:tc>
      </w:tr>
      <w:tr w14:paraId="307F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875" w:type="dxa"/>
            <w:vAlign w:val="center"/>
          </w:tcPr>
          <w:p w14:paraId="0C3B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vAlign w:val="center"/>
          </w:tcPr>
          <w:p w14:paraId="5030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深挖优秀传统文化，推进“山东手造 济宁好礼”工程，讲好“汶上故事”。</w:t>
            </w:r>
          </w:p>
        </w:tc>
        <w:tc>
          <w:tcPr>
            <w:tcW w:w="4160" w:type="dxa"/>
            <w:vAlign w:val="center"/>
          </w:tcPr>
          <w:p w14:paraId="7B83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年，县文旅局、人社局，乡村振兴局联合评选出县级非遗工坊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家，其中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家被评为市级非遗工坊。第二批县级非遗工坊评选工作通知已下发，积极打造提升基本符合条件的非遗工坊（根雕、木雕、衣服、食品、泥塑等）</w:t>
            </w:r>
          </w:p>
        </w:tc>
        <w:tc>
          <w:tcPr>
            <w:tcW w:w="1500" w:type="dxa"/>
            <w:vAlign w:val="center"/>
          </w:tcPr>
          <w:p w14:paraId="118D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年汶上县政府工作报告</w:t>
            </w:r>
          </w:p>
        </w:tc>
      </w:tr>
    </w:tbl>
    <w:p w14:paraId="20AAB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bookmarkStart w:id="103" w:name="_Toc8926"/>
      <w:r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二、工作开展情况</w:t>
      </w:r>
      <w:bookmarkEnd w:id="103"/>
    </w:p>
    <w:p w14:paraId="3FEA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</w:pPr>
      <w:bookmarkStart w:id="104" w:name="_Toc9584"/>
      <w:r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  <w:t>（一）评价对象和范围</w:t>
      </w:r>
      <w:bookmarkEnd w:id="104"/>
    </w:p>
    <w:p w14:paraId="4659E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本次绩效评价对象为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4882.46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万元。评价周期为202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年12月31日，评价基准日为202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年12月31日，所涉及的评价指标和财务报表以此为基准时间。</w:t>
      </w:r>
    </w:p>
    <w:p w14:paraId="0008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red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本次绩效评价范围为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下属事业单位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现场评价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部门本级和下属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单位全覆盖，并选取重点项目的部分实施点开展实地调研。</w:t>
      </w:r>
    </w:p>
    <w:p w14:paraId="766C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</w:pPr>
      <w:bookmarkStart w:id="105" w:name="_Toc30686"/>
      <w:r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  <w:t>（二）评价目的和依据</w:t>
      </w:r>
      <w:bookmarkEnd w:id="105"/>
    </w:p>
    <w:p w14:paraId="4C55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28"/>
          <w:highlight w:val="none"/>
          <w:lang w:eastAsia="zh-CN"/>
        </w:rPr>
      </w:pPr>
      <w:bookmarkStart w:id="106" w:name="_Toc10395"/>
      <w:bookmarkStart w:id="107" w:name="_Toc31972"/>
      <w:bookmarkStart w:id="108" w:name="_Toc11787"/>
      <w:bookmarkStart w:id="109" w:name="_Toc12126"/>
      <w:bookmarkStart w:id="110" w:name="_Toc19203"/>
      <w:bookmarkStart w:id="111" w:name="_Toc19098"/>
      <w:bookmarkStart w:id="112" w:name="_Toc19997"/>
      <w:bookmarkStart w:id="113" w:name="_Toc11335"/>
      <w:bookmarkStart w:id="114" w:name="_Toc4788"/>
      <w:bookmarkStart w:id="115" w:name="_Toc12874"/>
      <w:bookmarkStart w:id="116" w:name="_Toc22517"/>
      <w:bookmarkStart w:id="117" w:name="_Toc11483"/>
      <w:bookmarkStart w:id="118" w:name="_Toc31612"/>
      <w:bookmarkStart w:id="119" w:name="_Toc3922"/>
      <w:bookmarkStart w:id="120" w:name="_Toc11292"/>
      <w:bookmarkStart w:id="121" w:name="_Toc15482"/>
      <w:bookmarkStart w:id="122" w:name="_Toc9460"/>
      <w:bookmarkStart w:id="123" w:name="_Toc15787"/>
      <w:bookmarkStart w:id="124" w:name="_Toc30730"/>
      <w:bookmarkStart w:id="125" w:name="_Toc27690"/>
      <w:bookmarkStart w:id="126" w:name="_Toc23008"/>
      <w:bookmarkStart w:id="127" w:name="_Toc13809"/>
      <w:bookmarkStart w:id="128" w:name="_Toc27113"/>
      <w:bookmarkStart w:id="129" w:name="_Toc20840"/>
      <w:bookmarkStart w:id="130" w:name="_Toc9101"/>
      <w:bookmarkStart w:id="131" w:name="_Toc31502"/>
      <w:bookmarkStart w:id="132" w:name="_Toc30212"/>
      <w:bookmarkStart w:id="133" w:name="_Toc13359"/>
      <w:bookmarkStart w:id="134" w:name="_Toc10875"/>
      <w:bookmarkStart w:id="135" w:name="_Toc29877"/>
      <w:bookmarkStart w:id="136" w:name="_Toc8128"/>
      <w:bookmarkStart w:id="137" w:name="_Toc18244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28"/>
          <w:highlight w:val="none"/>
          <w:lang w:val="en-US" w:eastAsia="zh-CN"/>
        </w:rPr>
        <w:t>1.评价目的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7D336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138" w:name="_Toc6824"/>
      <w:bookmarkStart w:id="139" w:name="_Toc8290"/>
      <w:bookmarkStart w:id="140" w:name="_Toc14029"/>
      <w:bookmarkStart w:id="141" w:name="_Toc27190"/>
      <w:bookmarkStart w:id="142" w:name="_Toc19954"/>
      <w:bookmarkStart w:id="143" w:name="_Toc12740"/>
      <w:bookmarkStart w:id="144" w:name="_Toc24208"/>
      <w:bookmarkStart w:id="145" w:name="_Toc22054"/>
      <w:bookmarkStart w:id="146" w:name="_Toc20000"/>
      <w:bookmarkStart w:id="147" w:name="_Toc4241"/>
      <w:bookmarkStart w:id="148" w:name="_Toc12372"/>
      <w:bookmarkStart w:id="149" w:name="_Toc19651"/>
      <w:bookmarkStart w:id="150" w:name="_Toc17762"/>
      <w:bookmarkStart w:id="151" w:name="_Toc6911"/>
      <w:bookmarkStart w:id="152" w:name="_Toc4291"/>
      <w:bookmarkStart w:id="153" w:name="_Toc21667"/>
      <w:bookmarkStart w:id="154" w:name="_Toc31752"/>
      <w:bookmarkStart w:id="155" w:name="_Toc19190"/>
      <w:bookmarkStart w:id="156" w:name="_Toc30664"/>
      <w:bookmarkStart w:id="157" w:name="_Toc20177"/>
      <w:bookmarkStart w:id="158" w:name="_Toc9062"/>
      <w:bookmarkStart w:id="159" w:name="_Toc24442"/>
      <w:bookmarkStart w:id="160" w:name="_Toc1461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绩效评价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评价机构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职责、行业发展规划，以预算资金管理为主线，统筹考虑资产和业务活动，聚焦部门预算管理的关键点和薄弱点，从财政资源配置、预算管理、绩效管理、履职效能和社会效应5个方面，对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整体绩效情况进行评价，客观反映部门预算管理水平和业务工作成效。</w:t>
      </w:r>
    </w:p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p w14:paraId="7C693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28"/>
          <w:lang w:eastAsia="zh-CN"/>
        </w:rPr>
      </w:pPr>
      <w:bookmarkStart w:id="161" w:name="_Toc22673"/>
      <w:bookmarkStart w:id="162" w:name="_Toc847"/>
      <w:bookmarkStart w:id="163" w:name="_Toc27403"/>
      <w:bookmarkStart w:id="164" w:name="_Toc3409"/>
      <w:bookmarkStart w:id="165" w:name="_Toc1321"/>
      <w:bookmarkStart w:id="166" w:name="_Toc16590"/>
      <w:bookmarkStart w:id="167" w:name="_Toc21945"/>
      <w:bookmarkStart w:id="168" w:name="_Toc19870"/>
      <w:bookmarkStart w:id="169" w:name="_Toc1237"/>
      <w:bookmarkStart w:id="170" w:name="_Toc23892"/>
      <w:r>
        <w:rPr>
          <w:rFonts w:hint="default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2.评价依据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2309A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（1）绩效管理文件</w:t>
      </w:r>
    </w:p>
    <w:p w14:paraId="65DED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①《中共汶上县委 汶上县人民政府关于全面落实预算绩效管理的实施意见》（汶发〔2019〕15号 ）；</w:t>
      </w:r>
    </w:p>
    <w:p w14:paraId="7EA3C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汶上县财政局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《汶上县县级部门和单位整体绩效管理暂行办法》（汶财绩〔2021〕1号）；</w:t>
      </w:r>
    </w:p>
    <w:p w14:paraId="17E7E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汶上县财政局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《汶上县县直部门预算绩效运行监控管理暂行办法》（汶财绩〔2023〕19号）；</w:t>
      </w:r>
    </w:p>
    <w:p w14:paraId="7C85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④《汶上县财政局关于印发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规范第三方机构参与预算绩效管理工作办法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的通知》（汶财绩〔2019〕3号）；</w:t>
      </w:r>
    </w:p>
    <w:p w14:paraId="6B7B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汶上县财政局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《汶上县县级项目支出绩效财政评价和部门评价工作规程》（汶财绩〔2023〕20号）。</w:t>
      </w:r>
    </w:p>
    <w:p w14:paraId="123C6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（2）业务管理文件</w:t>
      </w:r>
    </w:p>
    <w:p w14:paraId="13B03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汶上县文旅局《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汶上县促进文化旅游投资消费奖励扶持暂行办法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汶文旅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〔2023〕11号）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08E33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汶上县文旅局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中共汶上县文化和旅游局党组“三重一大”决策制度实施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细则〉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的通知》（汶文旅党〔2020〕13号）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6AD98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（3）佐证资料</w:t>
      </w:r>
    </w:p>
    <w:p w14:paraId="17C97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部门管理的佐证材料，包括部门整体绩效目标、“三定”方案、部门年度工作计划、内控制度、财务资料、预算审查及批复资料、预算执行过程资料、决算报告等；</w:t>
      </w:r>
    </w:p>
    <w:p w14:paraId="1BDC9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②反映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部门履职结果的佐证材料，包括部门整体自评报告、绩效自评表、部门年度工作总结等；</w:t>
      </w:r>
    </w:p>
    <w:p w14:paraId="573E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③评价工作组通过公开渠道查询等获取的相关资料。</w:t>
      </w:r>
    </w:p>
    <w:p w14:paraId="405BA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</w:pPr>
      <w:bookmarkStart w:id="171" w:name="_Toc30142"/>
      <w:r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  <w:t>（三）评价方法选择</w:t>
      </w:r>
      <w:bookmarkEnd w:id="171"/>
    </w:p>
    <w:p w14:paraId="3E33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本次绩效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工作综合运用成本效益分析法、比较法、文献法、专家评议法等方法，遵循“突出重点、兼顾全局；科学公正、反映实际；建言资政、可行有效”的原则，对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整体绩效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评价。</w:t>
      </w:r>
    </w:p>
    <w:p w14:paraId="6283B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172" w:name="_Toc22943"/>
      <w:r>
        <w:rPr>
          <w:rFonts w:hint="default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  <w:t>（四）评价指标体系</w:t>
      </w:r>
      <w:bookmarkEnd w:id="172"/>
      <w:r>
        <w:rPr>
          <w:rFonts w:hint="eastAsia" w:ascii="Times New Roman" w:hAnsi="Times New Roman" w:eastAsia="楷体_GB2312" w:cs="Times New Roman"/>
          <w:color w:val="auto"/>
          <w:sz w:val="32"/>
          <w:szCs w:val="28"/>
          <w:highlight w:val="none"/>
          <w:lang w:val="en-US" w:eastAsia="zh-CN"/>
        </w:rPr>
        <w:t xml:space="preserve">   </w:t>
      </w:r>
      <w:bookmarkStart w:id="173" w:name="_Toc28323"/>
      <w:bookmarkStart w:id="174" w:name="_Toc30302"/>
      <w:bookmarkStart w:id="175" w:name="_Toc4054"/>
      <w:bookmarkStart w:id="176" w:name="_Toc15020"/>
      <w:bookmarkStart w:id="177" w:name="_Toc336"/>
      <w:bookmarkStart w:id="178" w:name="_Toc29611"/>
      <w:bookmarkStart w:id="179" w:name="_Toc17969"/>
      <w:bookmarkStart w:id="180" w:name="_Toc22824"/>
    </w:p>
    <w:p w14:paraId="5AD24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181" w:name="_Toc16637"/>
      <w:bookmarkStart w:id="182" w:name="_Toc25464"/>
      <w:bookmarkStart w:id="183" w:name="_Toc5054"/>
      <w:bookmarkStart w:id="184" w:name="_Toc19376"/>
      <w:bookmarkStart w:id="185" w:name="_Toc20145"/>
      <w:bookmarkStart w:id="186" w:name="_Toc18839"/>
      <w:bookmarkStart w:id="187" w:name="_Toc17905"/>
      <w:bookmarkStart w:id="188" w:name="_Toc5760"/>
      <w:bookmarkStart w:id="189" w:name="_Toc8399"/>
      <w:bookmarkStart w:id="190" w:name="_Toc22150"/>
      <w:bookmarkStart w:id="191" w:name="_Toc21736"/>
      <w:bookmarkStart w:id="192" w:name="_Toc19014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本次部门整体支出的绩效评价指标体系有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个一级指标，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个二级指标，25个三级指标。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绩效评价等级分为四个级别：高于或等于90分的为“优”，80分（含）-90分的为“良”，60分（含）-80分的为“中”，低于60分的为“差”。</w:t>
      </w:r>
      <w:bookmarkStart w:id="193" w:name="_Toc15167"/>
      <w:bookmarkStart w:id="194" w:name="_Toc25455"/>
    </w:p>
    <w:bookmarkEnd w:id="193"/>
    <w:bookmarkEnd w:id="194"/>
    <w:p w14:paraId="0A690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195" w:name="_Toc29187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三、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综合评价情况及结论</w:t>
      </w:r>
      <w:bookmarkEnd w:id="195"/>
    </w:p>
    <w:p w14:paraId="2C82B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196" w:name="_Toc97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县文旅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部门预算整体绩效评价综合得分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87.35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分，评价等级为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“良”。评价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县文旅局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预算编制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严谨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，预算管理有待进一步提高，抽查的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个重大政策（项目）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整体绩效良好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平均得分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bookmarkStart w:id="197" w:name="_Toc5411"/>
    </w:p>
    <w:p w14:paraId="18B0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绩效评价指标分析</w:t>
      </w:r>
      <w:bookmarkEnd w:id="197"/>
    </w:p>
    <w:bookmarkEnd w:id="196"/>
    <w:p w14:paraId="40518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198" w:name="_Toc13854"/>
      <w:bookmarkStart w:id="199" w:name="_Toc23567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（一）财政资源配置</w:t>
      </w:r>
      <w:bookmarkEnd w:id="198"/>
    </w:p>
    <w:p w14:paraId="0E32D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该一级指标分值15分，得分1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分，得分率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86.67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%，下设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个二级指标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预算安排与部门职能匹配度较高，预算安排和部门“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定”方案确定的职责匹配，预算安排不存在“先排钱、再谋事”的问题，明确细化，预算安排资金未交叉重复。但重点项目支出安排方向稍显不足。收入预算统筹方面，部门依法依规将取得的各类收入纳入部门预算，部门“三公经费”控制合理，变动率为-2.16%</w:t>
      </w:r>
      <w:r>
        <w:rPr>
          <w:rFonts w:hint="eastAsia" w:ascii="Times New Roman" w:hAnsi="Times New Roman" w:eastAsia="仿宋_GB2312"/>
          <w:b w:val="0"/>
          <w:bCs w:val="0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满足变动率≤0%的要求，但会议费、培训费年初未列预算，控制率较差。</w:t>
      </w:r>
    </w:p>
    <w:p w14:paraId="3DA62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200" w:name="_Toc15942"/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（二）预算管理</w:t>
      </w:r>
      <w:bookmarkEnd w:id="200"/>
    </w:p>
    <w:p w14:paraId="4093E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该一级指标分值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分，得分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27.10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分，得分率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93.45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%，下设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个二级指标。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部门预算执行进度情况有待完善；部门收入预算完成度高，预决算信息公开及时、可查，按照要求推进预算管理一体化系统，内控制度完善，部门内部编有内控报告；资金使用方面合理合规，未发现违规现象；会计核算规范，会计人员任用规范；采购活动合规性稍显不足，部分采购项目缺少预算评审以及验收流程；部门资产管理规范，固定资产利用率高。</w:t>
      </w:r>
    </w:p>
    <w:p w14:paraId="177BE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201" w:name="_Toc1523"/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（三）绩效管理</w:t>
      </w:r>
      <w:bookmarkEnd w:id="201"/>
    </w:p>
    <w:p w14:paraId="54892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该一级指标分值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分，得分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分，得分率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%，下设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个二级指标。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部门有效落实全面实施绩效管理要求，建立健全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贯穿事前、事中、事后的全过程绩效管理链条，有效应用部门预算绩效评价结果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，但2023年部门工作计划未能全面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对接并体现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政府工作报告核心工作要求。</w:t>
      </w:r>
    </w:p>
    <w:p w14:paraId="6D9C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202" w:name="_Toc27187"/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（四）部门履职效能</w:t>
      </w:r>
      <w:bookmarkEnd w:id="202"/>
    </w:p>
    <w:p w14:paraId="3DF73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该一级指标分值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分，得分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27.25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分，得分率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87.90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%，下设2个二级指标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部门重点任务工作完成情况欠佳，政府工作报告中共委派县文旅局重点任务5项，其中两项未完成；部门政策制定科学合理，能够有效支撑“十四五”规划目标达成。在2个重大政策项目评价中，项目评分分别为85.4分以及90.6分。</w:t>
      </w:r>
    </w:p>
    <w:p w14:paraId="4C0EB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社会效应</w:t>
      </w:r>
    </w:p>
    <w:p w14:paraId="26CDF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该项一级指标分值10分，得分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分，得分率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0%，下设1个二级指标，为“高质量发展综合绩效”。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县文旅局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在县直部门高质量发展考核中获得“良好”等次，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该项指标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6分。</w:t>
      </w:r>
    </w:p>
    <w:p w14:paraId="6F79D9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203" w:name="_Toc14479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五、主要成效及做法</w:t>
      </w:r>
      <w:bookmarkEnd w:id="199"/>
      <w:bookmarkEnd w:id="203"/>
      <w:bookmarkStart w:id="204" w:name="_Toc20062"/>
      <w:bookmarkStart w:id="205" w:name="_Toc19202"/>
      <w:bookmarkStart w:id="206" w:name="_Toc9426"/>
      <w:bookmarkStart w:id="207" w:name="_Toc9835"/>
      <w:bookmarkStart w:id="208" w:name="_Toc20243"/>
      <w:bookmarkStart w:id="209" w:name="_Toc24979"/>
    </w:p>
    <w:p w14:paraId="317D4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（一）沟通机制不断完善，打造汶上特色文化体系</w:t>
      </w:r>
    </w:p>
    <w:p w14:paraId="6BF25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多次向县委县政府进行正式报告，详细阐述文化旅游领域的关键工作任务，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深入研讨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文化“两创”战略、应急广播体系构建、文物古迹保护等核心议题。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成功组织并召开了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汶上县文化传承座谈会，进一步推动县域文化事业的繁荣与发展。</w:t>
      </w:r>
    </w:p>
    <w:p w14:paraId="6348E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（二）夯阵地、丰供给、创精品，促文化繁荣发展</w:t>
      </w:r>
    </w:p>
    <w:p w14:paraId="0916B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夯实文化阵地。持续推进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文化馆、图书馆、博物馆、文化站等各类公共文化场馆软硬件服务水平全面提升、全面达标。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丰富文化供给。常态化实施送戏下乡、公益电影放映、戏曲进校园等各类文化惠民工程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打造文艺精品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积极开展“非遗购物节”、非遗“六进”、非遗展演及展销等各类非遗活动。</w:t>
      </w:r>
    </w:p>
    <w:p w14:paraId="3FF1FEA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210" w:name="_Toc5461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六、存在的问题</w:t>
      </w:r>
      <w:bookmarkEnd w:id="204"/>
      <w:bookmarkEnd w:id="210"/>
    </w:p>
    <w:p w14:paraId="26AF4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bookmarkStart w:id="211" w:name="_Toc15332"/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lang w:val="en-US" w:eastAsia="zh-CN"/>
        </w:rPr>
        <w:t>（一）</w:t>
      </w:r>
      <w:bookmarkEnd w:id="211"/>
      <w:bookmarkStart w:id="212" w:name="_Toc5189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部分项目成本构成不够具体，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预算测算依据单一</w:t>
      </w:r>
      <w:bookmarkEnd w:id="212"/>
    </w:p>
    <w:p w14:paraId="700D6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汶上县南旺遗址公园物业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服务项目招标控制价编制无依据。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项目控制价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42.87万元，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但未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提供招标控制价编制报告。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其他运转类项目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年初预算大多按照往年预算申报，未根据实际工作量测算当年预算。</w:t>
      </w:r>
    </w:p>
    <w:p w14:paraId="18D057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13" w:name="_Toc24298"/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pacing w:val="-6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pacing w:val="-6"/>
          <w:sz w:val="32"/>
          <w:szCs w:val="32"/>
          <w:lang w:val="en-US" w:eastAsia="zh-CN"/>
        </w:rPr>
        <w:t>财政奖补的文件印发流程不规范</w:t>
      </w:r>
      <w:bookmarkEnd w:id="213"/>
    </w:p>
    <w:p w14:paraId="0B752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县文旅局印发的《汶上县促进文化旅游投资消费奖励扶持暂行办法》（汶文旅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〔2023〕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号）发文单位仅限于县文旅局，且在文件印发之前，未充分遵循规范化行文的必要程序，如征求意见、专家论证等环节的相关资料均未能提供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6FD7BE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outlineLvl w:val="1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bookmarkStart w:id="214" w:name="_Toc7120"/>
      <w:bookmarkStart w:id="215" w:name="_Toc22117"/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预算项目支出内容重合</w:t>
      </w:r>
      <w:bookmarkEnd w:id="214"/>
    </w:p>
    <w:p w14:paraId="74DE9F9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经调研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大运河南旺枢纽工程大遗址保护与申遗工作指挥部工作经费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南旺大运河枢纽遗址公园物业费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南旺遗址公园设施设备日常保养项目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等3个项目均为南旺大运河枢纽遗址公园相关项目，支出用途均为保障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南旺大运河枢纽遗址公园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日常运转，鉴于各项目预算规模相对有限，且均服务于同一目标，分散申报不利于项目管理的统一性和高效性。</w:t>
      </w:r>
    </w:p>
    <w:p w14:paraId="0C424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216" w:name="_Toc1545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七、意见建议</w:t>
      </w:r>
      <w:bookmarkEnd w:id="215"/>
      <w:bookmarkEnd w:id="216"/>
    </w:p>
    <w:p w14:paraId="024893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217" w:name="_Toc15951"/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bookmarkEnd w:id="217"/>
      <w:bookmarkStart w:id="218" w:name="_Toc25501"/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加强预算精细化管理，严格项目实施过程管控</w:t>
      </w:r>
      <w:bookmarkEnd w:id="218"/>
    </w:p>
    <w:p w14:paraId="598F4346"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进一步强化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购买服务类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政府采购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成本控制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管理，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严格开展招标控制价预算评审，同时对招标文件中投标报价部分予以细化，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增强招投标的科学性和规范性。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县文旅局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应打破预算安排和资金分配的基数依赖以及项目支出固化格局，建立完善能增能减的预算分配机制。</w:t>
      </w:r>
    </w:p>
    <w:p w14:paraId="0A0058FF">
      <w:pPr>
        <w:spacing w:line="560" w:lineRule="exact"/>
        <w:ind w:firstLine="640" w:firstLineChars="200"/>
        <w:outlineLvl w:val="1"/>
        <w:rPr>
          <w:rFonts w:hint="default" w:ascii="Times New Roman" w:hAnsi="Times New Roman" w:eastAsia="楷体" w:cs="Times New Roman"/>
          <w:color w:val="000000"/>
          <w:kern w:val="0"/>
          <w:sz w:val="31"/>
          <w:szCs w:val="31"/>
          <w:lang w:val="en-US" w:eastAsia="zh-CN" w:bidi="ar"/>
        </w:rPr>
      </w:pPr>
      <w:bookmarkStart w:id="219" w:name="_Toc12419"/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）规范文件印发流程</w:t>
      </w:r>
      <w:bookmarkEnd w:id="219"/>
    </w:p>
    <w:p w14:paraId="0801F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《汶上县促进文化旅游投资消费奖励扶持暂行办法》（汶文旅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〔2023〕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印发程序不够规范的情况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，建议县文旅局按照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山东省人民政府《山东省行政规范性文件制定和监督管理办法》（山东省人民政府令第353号）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以及县级规范化行文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相关要求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严格依照法定程序制发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确保制发工作规范有序。</w:t>
      </w:r>
    </w:p>
    <w:p w14:paraId="389E438B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default" w:ascii="楷体_GB2312" w:hAnsi="宋体" w:eastAsia="楷体_GB2312" w:cs="楷体_GB2312"/>
          <w:color w:val="000000"/>
          <w:kern w:val="0"/>
          <w:sz w:val="32"/>
          <w:szCs w:val="32"/>
          <w:lang w:val="en-US" w:bidi="ar"/>
        </w:rPr>
      </w:pPr>
      <w:bookmarkStart w:id="220" w:name="_Toc24017"/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（三）精简预算申报，强化资金统筹</w:t>
      </w:r>
      <w:bookmarkEnd w:id="220"/>
    </w:p>
    <w:p w14:paraId="35ECBA5C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建议县文旅局将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大运河南旺枢纽工程大遗址保护与申遗工作指挥部工作经费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南旺大运河枢纽遗址公园物业费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南旺遗址公园设施设备日常保养项目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3个项目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合并申报预算。该类型项目支出方向相似，支出内容重合度高，合并申报可减少工作量，便于财政部门统筹管理。</w:t>
      </w:r>
    </w:p>
    <w:p w14:paraId="6302A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bookmarkStart w:id="221" w:name="_Toc2554"/>
      <w:bookmarkStart w:id="222" w:name="_Toc7251"/>
      <w:bookmarkStart w:id="223" w:name="_Toc17663"/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                           </w:t>
      </w:r>
      <w:bookmarkEnd w:id="205"/>
      <w:bookmarkEnd w:id="206"/>
      <w:bookmarkEnd w:id="207"/>
      <w:bookmarkEnd w:id="208"/>
      <w:bookmarkEnd w:id="209"/>
      <w:bookmarkEnd w:id="221"/>
      <w:bookmarkEnd w:id="222"/>
      <w:bookmarkEnd w:id="223"/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0E41F7-5000-4826-8463-D714357940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42A9A0-1360-4AAB-996A-003BC002F46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F6819F-6252-471B-8C25-C41DC2AFEA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26F0113-BC52-42B9-B8FE-3AA8701404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4E9DE8-AB98-41AE-BB0B-618B83E725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2AE2">
    <w:pPr>
      <w:pStyle w:val="1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B5C85">
                          <w:pPr>
                            <w:pStyle w:val="1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DB5C85">
                    <w:pPr>
                      <w:pStyle w:val="1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</w:pPr>
      <w:r>
        <w:separator/>
      </w:r>
    </w:p>
  </w:footnote>
  <w:footnote w:type="continuationSeparator" w:id="3">
    <w:p>
      <w:pPr>
        <w:spacing w:line="360" w:lineRule="auto"/>
      </w:pPr>
      <w:r>
        <w:continuationSeparator/>
      </w:r>
    </w:p>
  </w:footnote>
  <w:footnote w:id="0">
    <w:p w14:paraId="2D9E6D4E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 xml:space="preserve"> 重点项目选择标准为县文旅局特定目标类项目。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TM1YjMxMDEzODFjNzE5MjliMjYwZDM1MWY5NjUifQ=="/>
  </w:docVars>
  <w:rsids>
    <w:rsidRoot w:val="00000000"/>
    <w:rsid w:val="003B6C14"/>
    <w:rsid w:val="033124A2"/>
    <w:rsid w:val="035340C8"/>
    <w:rsid w:val="04277474"/>
    <w:rsid w:val="05F33D18"/>
    <w:rsid w:val="06F537E7"/>
    <w:rsid w:val="079E7A52"/>
    <w:rsid w:val="08870A37"/>
    <w:rsid w:val="097A43B8"/>
    <w:rsid w:val="09A33748"/>
    <w:rsid w:val="09F36930"/>
    <w:rsid w:val="0B813DF8"/>
    <w:rsid w:val="0D1420FC"/>
    <w:rsid w:val="0EA33EF7"/>
    <w:rsid w:val="0F5C3E92"/>
    <w:rsid w:val="0F8A6A96"/>
    <w:rsid w:val="10D43F36"/>
    <w:rsid w:val="113969C6"/>
    <w:rsid w:val="1210161F"/>
    <w:rsid w:val="12816876"/>
    <w:rsid w:val="12B171C7"/>
    <w:rsid w:val="12BD41CC"/>
    <w:rsid w:val="13CA01A3"/>
    <w:rsid w:val="145D29CB"/>
    <w:rsid w:val="15E02293"/>
    <w:rsid w:val="16467BBB"/>
    <w:rsid w:val="16F4084B"/>
    <w:rsid w:val="1813599F"/>
    <w:rsid w:val="19291F5D"/>
    <w:rsid w:val="192F6F85"/>
    <w:rsid w:val="193A118A"/>
    <w:rsid w:val="19EF2318"/>
    <w:rsid w:val="1B226573"/>
    <w:rsid w:val="1BD82F6C"/>
    <w:rsid w:val="1C5A12FA"/>
    <w:rsid w:val="1DE26EA0"/>
    <w:rsid w:val="1EA50176"/>
    <w:rsid w:val="1F72557D"/>
    <w:rsid w:val="201C12BD"/>
    <w:rsid w:val="20256D3C"/>
    <w:rsid w:val="2032593C"/>
    <w:rsid w:val="20586E69"/>
    <w:rsid w:val="22234BBA"/>
    <w:rsid w:val="22837AA1"/>
    <w:rsid w:val="22BB2844"/>
    <w:rsid w:val="237044C9"/>
    <w:rsid w:val="24086E96"/>
    <w:rsid w:val="24C50BBE"/>
    <w:rsid w:val="24DC5677"/>
    <w:rsid w:val="260F5747"/>
    <w:rsid w:val="26622105"/>
    <w:rsid w:val="26CF40CE"/>
    <w:rsid w:val="27471BEC"/>
    <w:rsid w:val="27513C7C"/>
    <w:rsid w:val="277E03BB"/>
    <w:rsid w:val="28CD3869"/>
    <w:rsid w:val="28D01658"/>
    <w:rsid w:val="2973544C"/>
    <w:rsid w:val="29A1096B"/>
    <w:rsid w:val="2D3B5B48"/>
    <w:rsid w:val="2DAF6585"/>
    <w:rsid w:val="2DE35CC7"/>
    <w:rsid w:val="2DE90550"/>
    <w:rsid w:val="2E68281B"/>
    <w:rsid w:val="2F221168"/>
    <w:rsid w:val="2F3E36CD"/>
    <w:rsid w:val="30A24BAD"/>
    <w:rsid w:val="310F7EB1"/>
    <w:rsid w:val="31B02EC6"/>
    <w:rsid w:val="3207424B"/>
    <w:rsid w:val="32B43AE1"/>
    <w:rsid w:val="330571C0"/>
    <w:rsid w:val="335D7635"/>
    <w:rsid w:val="343F3810"/>
    <w:rsid w:val="344976CC"/>
    <w:rsid w:val="34C75D54"/>
    <w:rsid w:val="34C80486"/>
    <w:rsid w:val="359FA3D9"/>
    <w:rsid w:val="35A6006A"/>
    <w:rsid w:val="35F05435"/>
    <w:rsid w:val="369A669F"/>
    <w:rsid w:val="37EB67CB"/>
    <w:rsid w:val="38066D52"/>
    <w:rsid w:val="386264A2"/>
    <w:rsid w:val="394915ED"/>
    <w:rsid w:val="398304C5"/>
    <w:rsid w:val="39991D47"/>
    <w:rsid w:val="3A930466"/>
    <w:rsid w:val="3BAB23CB"/>
    <w:rsid w:val="3CE15A09"/>
    <w:rsid w:val="3D2B182D"/>
    <w:rsid w:val="3D716E8D"/>
    <w:rsid w:val="3DAC3136"/>
    <w:rsid w:val="3E8911A8"/>
    <w:rsid w:val="3ED5122D"/>
    <w:rsid w:val="3F5A0770"/>
    <w:rsid w:val="3F780CB5"/>
    <w:rsid w:val="3F875A14"/>
    <w:rsid w:val="413F7118"/>
    <w:rsid w:val="418F7DB9"/>
    <w:rsid w:val="449579D4"/>
    <w:rsid w:val="458539AC"/>
    <w:rsid w:val="4587176F"/>
    <w:rsid w:val="47BE26ED"/>
    <w:rsid w:val="47E26489"/>
    <w:rsid w:val="491D5FE3"/>
    <w:rsid w:val="495542FE"/>
    <w:rsid w:val="4B75412C"/>
    <w:rsid w:val="4BC23934"/>
    <w:rsid w:val="4C3944F4"/>
    <w:rsid w:val="4CDE57DB"/>
    <w:rsid w:val="4DEC635F"/>
    <w:rsid w:val="4DEF59AA"/>
    <w:rsid w:val="4E7E368F"/>
    <w:rsid w:val="4FDF8680"/>
    <w:rsid w:val="4FFEB543"/>
    <w:rsid w:val="50C649BF"/>
    <w:rsid w:val="50DC72B6"/>
    <w:rsid w:val="512E27E5"/>
    <w:rsid w:val="52CD0F39"/>
    <w:rsid w:val="540135DE"/>
    <w:rsid w:val="58C61A87"/>
    <w:rsid w:val="5903310E"/>
    <w:rsid w:val="59547D5A"/>
    <w:rsid w:val="5AE31961"/>
    <w:rsid w:val="5B576E8E"/>
    <w:rsid w:val="5DBD142B"/>
    <w:rsid w:val="5DEE7C26"/>
    <w:rsid w:val="5E9E4360"/>
    <w:rsid w:val="5EDB3551"/>
    <w:rsid w:val="5FAC5536"/>
    <w:rsid w:val="60EC4488"/>
    <w:rsid w:val="610D1B17"/>
    <w:rsid w:val="613E2FBE"/>
    <w:rsid w:val="62DF311D"/>
    <w:rsid w:val="6414457A"/>
    <w:rsid w:val="65453742"/>
    <w:rsid w:val="672C55DC"/>
    <w:rsid w:val="67EC0D45"/>
    <w:rsid w:val="6833E0D7"/>
    <w:rsid w:val="69AB3474"/>
    <w:rsid w:val="6C3B3EB3"/>
    <w:rsid w:val="6D7D75AA"/>
    <w:rsid w:val="6EFFF563"/>
    <w:rsid w:val="6F636DE1"/>
    <w:rsid w:val="6F67FE50"/>
    <w:rsid w:val="6F6E0D4F"/>
    <w:rsid w:val="70571079"/>
    <w:rsid w:val="707D53F8"/>
    <w:rsid w:val="71EF4966"/>
    <w:rsid w:val="71F27541"/>
    <w:rsid w:val="73795DBB"/>
    <w:rsid w:val="739F9B3B"/>
    <w:rsid w:val="73FF7176"/>
    <w:rsid w:val="748E78D8"/>
    <w:rsid w:val="74EB1CCF"/>
    <w:rsid w:val="76112564"/>
    <w:rsid w:val="773E0BF6"/>
    <w:rsid w:val="77F579A1"/>
    <w:rsid w:val="77FBB9C9"/>
    <w:rsid w:val="78782C25"/>
    <w:rsid w:val="78D0113A"/>
    <w:rsid w:val="791B1956"/>
    <w:rsid w:val="79F824A6"/>
    <w:rsid w:val="7A427882"/>
    <w:rsid w:val="7A4FDE63"/>
    <w:rsid w:val="7AFF78E5"/>
    <w:rsid w:val="7B8D907D"/>
    <w:rsid w:val="7BA3191D"/>
    <w:rsid w:val="7BE02A1E"/>
    <w:rsid w:val="7C1D2753"/>
    <w:rsid w:val="7C6333F8"/>
    <w:rsid w:val="7D4A0A5C"/>
    <w:rsid w:val="7D9217DE"/>
    <w:rsid w:val="7E0B1F99"/>
    <w:rsid w:val="7F0FBD5D"/>
    <w:rsid w:val="96464596"/>
    <w:rsid w:val="9F751E90"/>
    <w:rsid w:val="D9B5D352"/>
    <w:rsid w:val="ED768ACE"/>
    <w:rsid w:val="EDF92D98"/>
    <w:rsid w:val="F2FFC5C0"/>
    <w:rsid w:val="F77FB15A"/>
    <w:rsid w:val="FD3F68A7"/>
    <w:rsid w:val="FDF74EEC"/>
    <w:rsid w:val="FDF8E926"/>
    <w:rsid w:val="FF95A9F0"/>
    <w:rsid w:val="FFB4A0EC"/>
    <w:rsid w:val="FFBF2E64"/>
    <w:rsid w:val="FFCD95BC"/>
    <w:rsid w:val="FFCDF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仿宋" w:hAnsi="仿宋" w:eastAsia="仿宋" w:cs="仿宋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numPr>
        <w:ilvl w:val="0"/>
        <w:numId w:val="0"/>
      </w:numPr>
      <w:tabs>
        <w:tab w:val="left" w:pos="0"/>
      </w:tabs>
      <w:spacing w:before="340" w:beforeAutospacing="0" w:after="330" w:afterAutospacing="0" w:line="360" w:lineRule="auto"/>
      <w:jc w:val="both"/>
      <w:outlineLvl w:val="0"/>
    </w:pPr>
    <w:rPr>
      <w:b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0"/>
      </w:numPr>
      <w:spacing w:before="260" w:beforeAutospacing="0" w:after="260" w:afterAutospacing="0" w:line="360" w:lineRule="auto"/>
      <w:outlineLvl w:val="1"/>
    </w:pPr>
    <w:rPr>
      <w:b/>
      <w:sz w:val="3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0"/>
      </w:numPr>
      <w:spacing w:before="260" w:beforeAutospacing="0" w:after="260" w:afterAutospacing="0" w:line="360" w:lineRule="auto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60" w:lineRule="auto"/>
      <w:outlineLvl w:val="3"/>
    </w:pPr>
    <w:rPr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beforeAutospacing="0" w:after="290" w:afterAutospacing="0" w:line="36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4" w:afterAutospacing="0" w:line="360" w:lineRule="auto"/>
      <w:outlineLvl w:val="5"/>
    </w:pPr>
    <w:rPr>
      <w:b/>
      <w:szCs w:val="28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4" w:afterAutospacing="0" w:line="360" w:lineRule="auto"/>
      <w:outlineLvl w:val="6"/>
    </w:pPr>
    <w:rPr>
      <w:b/>
      <w:szCs w:val="28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Autospacing="0" w:after="64" w:afterAutospacing="0" w:line="317" w:lineRule="auto"/>
      <w:outlineLvl w:val="7"/>
    </w:pPr>
    <w:rPr>
      <w:b/>
      <w:szCs w:val="28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Autospacing="0" w:after="64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32">
    <w:name w:val="Default Paragraph Font"/>
    <w:qFormat/>
    <w:uiPriority w:val="0"/>
  </w:style>
  <w:style w:type="table" w:default="1" w:styleId="3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ind w:firstLine="200" w:firstLineChars="200"/>
    </w:pPr>
  </w:style>
  <w:style w:type="paragraph" w:styleId="1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3">
    <w:name w:val="annotation text"/>
    <w:basedOn w:val="1"/>
    <w:next w:val="1"/>
    <w:qFormat/>
    <w:uiPriority w:val="0"/>
    <w:pPr>
      <w:jc w:val="left"/>
    </w:pPr>
  </w:style>
  <w:style w:type="paragraph" w:styleId="14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15">
    <w:name w:val="Body Text Indent"/>
    <w:basedOn w:val="1"/>
    <w:next w:val="11"/>
    <w:qFormat/>
    <w:uiPriority w:val="0"/>
    <w:pPr>
      <w:spacing w:line="500" w:lineRule="exact"/>
      <w:ind w:firstLine="560"/>
    </w:pPr>
    <w:rPr>
      <w:rFonts w:ascii="仿宋_GB2312" w:eastAsia="仿宋_GB2312"/>
      <w:sz w:val="28"/>
      <w:szCs w:val="28"/>
    </w:rPr>
  </w:style>
  <w:style w:type="paragraph" w:styleId="16">
    <w:name w:val="toc 3"/>
    <w:basedOn w:val="1"/>
    <w:next w:val="1"/>
    <w:qFormat/>
    <w:uiPriority w:val="0"/>
    <w:pPr>
      <w:ind w:left="840" w:leftChars="400"/>
    </w:pPr>
  </w:style>
  <w:style w:type="paragraph" w:styleId="17">
    <w:name w:val="Plain Text"/>
    <w:basedOn w:val="1"/>
    <w:next w:val="13"/>
    <w:qFormat/>
    <w:uiPriority w:val="0"/>
    <w:rPr>
      <w:rFonts w:hAnsi="Courier New"/>
      <w:sz w:val="21"/>
      <w:szCs w:val="20"/>
    </w:rPr>
  </w:style>
  <w:style w:type="paragraph" w:styleId="18">
    <w:name w:val="Body Text Indent 2"/>
    <w:basedOn w:val="1"/>
    <w:next w:val="1"/>
    <w:qFormat/>
    <w:uiPriority w:val="0"/>
    <w:pPr>
      <w:ind w:firstLine="560"/>
    </w:pPr>
    <w:rPr>
      <w:rFonts w:ascii="宋体" w:eastAsia="宋体"/>
      <w:sz w:val="2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23">
    <w:name w:val="toc 6"/>
    <w:basedOn w:val="1"/>
    <w:next w:val="1"/>
    <w:qFormat/>
    <w:uiPriority w:val="0"/>
    <w:pPr>
      <w:ind w:left="2100"/>
    </w:pPr>
  </w:style>
  <w:style w:type="paragraph" w:styleId="24">
    <w:name w:val="toc 2"/>
    <w:basedOn w:val="1"/>
    <w:next w:val="1"/>
    <w:qFormat/>
    <w:uiPriority w:val="0"/>
    <w:pPr>
      <w:ind w:left="420" w:leftChars="200"/>
    </w:pPr>
  </w:style>
  <w:style w:type="paragraph" w:styleId="25">
    <w:name w:val="Body Text 2"/>
    <w:basedOn w:val="1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2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Body Text First Indent"/>
    <w:basedOn w:val="14"/>
    <w:qFormat/>
    <w:uiPriority w:val="99"/>
    <w:pPr>
      <w:ind w:firstLine="420" w:firstLineChars="100"/>
    </w:pPr>
  </w:style>
  <w:style w:type="paragraph" w:styleId="29">
    <w:name w:val="Body Text First Indent 2"/>
    <w:basedOn w:val="15"/>
    <w:next w:val="1"/>
    <w:qFormat/>
    <w:uiPriority w:val="0"/>
    <w:pPr>
      <w:spacing w:after="120" w:line="276" w:lineRule="auto"/>
      <w:ind w:left="420" w:leftChars="200"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basedOn w:val="32"/>
    <w:qFormat/>
    <w:uiPriority w:val="0"/>
    <w:rPr>
      <w:b/>
    </w:rPr>
  </w:style>
  <w:style w:type="character" w:styleId="34">
    <w:name w:val="Hyperlink"/>
    <w:basedOn w:val="32"/>
    <w:qFormat/>
    <w:uiPriority w:val="0"/>
    <w:rPr>
      <w:color w:val="0000FF"/>
      <w:u w:val="single"/>
    </w:rPr>
  </w:style>
  <w:style w:type="character" w:styleId="35">
    <w:name w:val="annotation reference"/>
    <w:basedOn w:val="32"/>
    <w:qFormat/>
    <w:uiPriority w:val="0"/>
    <w:rPr>
      <w:sz w:val="21"/>
      <w:szCs w:val="21"/>
    </w:rPr>
  </w:style>
  <w:style w:type="character" w:styleId="36">
    <w:name w:val="footnote reference"/>
    <w:basedOn w:val="32"/>
    <w:qFormat/>
    <w:uiPriority w:val="0"/>
    <w:rPr>
      <w:vertAlign w:val="superscript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8">
    <w:name w:val="样式1"/>
    <w:basedOn w:val="39"/>
    <w:qFormat/>
    <w:uiPriority w:val="0"/>
    <w:rPr>
      <w:rFonts w:ascii="Calibri" w:hAnsi="Calibri" w:eastAsia="仿宋_GB2312"/>
      <w:sz w:val="32"/>
    </w:rPr>
  </w:style>
  <w:style w:type="paragraph" w:customStyle="1" w:styleId="39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40">
    <w:name w:val="首行缩进"/>
    <w:basedOn w:val="1"/>
    <w:next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41">
    <w:name w:val="Normal Indent1"/>
    <w:basedOn w:val="1"/>
    <w:qFormat/>
    <w:uiPriority w:val="7"/>
    <w:pPr>
      <w:spacing w:line="440" w:lineRule="exact"/>
      <w:ind w:firstLine="480"/>
    </w:pPr>
    <w:rPr>
      <w:kern w:val="1"/>
    </w:rPr>
  </w:style>
  <w:style w:type="character" w:customStyle="1" w:styleId="42">
    <w:name w:val="标题 1 Char"/>
    <w:link w:val="2"/>
    <w:qFormat/>
    <w:uiPriority w:val="0"/>
    <w:rPr>
      <w:rFonts w:eastAsia="仿宋"/>
      <w:b/>
      <w:kern w:val="44"/>
      <w:sz w:val="32"/>
      <w:szCs w:val="32"/>
    </w:rPr>
  </w:style>
  <w:style w:type="paragraph" w:customStyle="1" w:styleId="43">
    <w:name w:val="表格内文字"/>
    <w:basedOn w:val="1"/>
    <w:qFormat/>
    <w:uiPriority w:val="0"/>
    <w:pPr>
      <w:spacing w:line="240" w:lineRule="auto"/>
      <w:jc w:val="center"/>
    </w:pPr>
  </w:style>
  <w:style w:type="paragraph" w:customStyle="1" w:styleId="44">
    <w:name w:val="齐鲁表格"/>
    <w:basedOn w:val="45"/>
    <w:qFormat/>
    <w:uiPriority w:val="0"/>
    <w:pPr>
      <w:spacing w:line="440" w:lineRule="exact"/>
      <w:ind w:left="50" w:leftChars="50" w:right="50" w:rightChars="50" w:firstLine="0" w:firstLineChars="0"/>
      <w:jc w:val="center"/>
    </w:pPr>
    <w:rPr>
      <w:rFonts w:ascii="Calibri" w:hAnsi="Calibri"/>
      <w:kern w:val="0"/>
      <w:sz w:val="20"/>
      <w:szCs w:val="20"/>
    </w:rPr>
  </w:style>
  <w:style w:type="paragraph" w:styleId="45">
    <w:name w:val="List Paragraph"/>
    <w:basedOn w:val="1"/>
    <w:qFormat/>
    <w:uiPriority w:val="1"/>
    <w:pPr>
      <w:ind w:left="232" w:firstLine="480"/>
    </w:pPr>
    <w:rPr>
      <w:rFonts w:ascii="仿宋" w:hAnsi="仿宋" w:eastAsia="仿宋" w:cs="仿宋"/>
      <w:lang w:val="zh-CN" w:eastAsia="zh-CN" w:bidi="zh-CN"/>
    </w:rPr>
  </w:style>
  <w:style w:type="paragraph" w:customStyle="1" w:styleId="4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47">
    <w:name w:val="Heading 5"/>
    <w:basedOn w:val="1"/>
    <w:qFormat/>
    <w:uiPriority w:val="1"/>
    <w:pPr>
      <w:autoSpaceDE w:val="0"/>
      <w:autoSpaceDN w:val="0"/>
      <w:ind w:left="1210"/>
      <w:outlineLvl w:val="4"/>
    </w:pPr>
    <w:rPr>
      <w:rFonts w:hAnsi="Times New Roman" w:cs="宋体"/>
      <w:sz w:val="28"/>
      <w:szCs w:val="28"/>
    </w:rPr>
  </w:style>
  <w:style w:type="table" w:customStyle="1" w:styleId="4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</w:rPr>
  </w:style>
  <w:style w:type="paragraph" w:customStyle="1" w:styleId="5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51">
    <w:name w:val="font31"/>
    <w:basedOn w:val="32"/>
    <w:qFormat/>
    <w:uiPriority w:val="0"/>
    <w:rPr>
      <w:rFonts w:hint="eastAsia" w:ascii="仿宋" w:hAnsi="仿宋" w:eastAsia="仿宋" w:cs="仿宋"/>
      <w:color w:val="0000FF"/>
      <w:sz w:val="21"/>
      <w:szCs w:val="21"/>
      <w:u w:val="none"/>
    </w:rPr>
  </w:style>
  <w:style w:type="character" w:customStyle="1" w:styleId="52">
    <w:name w:val="font51"/>
    <w:basedOn w:val="3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53">
    <w:name w:val="font61"/>
    <w:basedOn w:val="32"/>
    <w:qFormat/>
    <w:uiPriority w:val="0"/>
    <w:rPr>
      <w:rFonts w:hint="eastAsia" w:ascii="仿宋" w:hAnsi="仿宋" w:eastAsia="仿宋" w:cs="仿宋"/>
      <w:b/>
      <w:bCs/>
      <w:color w:val="0000FF"/>
      <w:sz w:val="21"/>
      <w:szCs w:val="21"/>
      <w:u w:val="none"/>
    </w:rPr>
  </w:style>
  <w:style w:type="character" w:customStyle="1" w:styleId="54">
    <w:name w:val="font41"/>
    <w:basedOn w:val="3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55">
    <w:name w:val="样式 正文文本缩进 + 行距: 1.5 倍行距"/>
    <w:basedOn w:val="1"/>
    <w:qFormat/>
    <w:uiPriority w:val="0"/>
    <w:pPr>
      <w:spacing w:after="120"/>
      <w:ind w:left="90" w:leftChars="32" w:firstLine="560"/>
    </w:pPr>
    <w:rPr>
      <w:rFonts w:cs="宋体"/>
    </w:rPr>
  </w:style>
  <w:style w:type="character" w:customStyle="1" w:styleId="56">
    <w:name w:val="font81"/>
    <w:basedOn w:val="32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57">
    <w:name w:val="font11"/>
    <w:basedOn w:val="32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paragraph" w:customStyle="1" w:styleId="58">
    <w:name w:val="闻政页码"/>
    <w:qFormat/>
    <w:uiPriority w:val="6"/>
    <w:pPr>
      <w:jc w:val="center"/>
    </w:pPr>
    <w:rPr>
      <w:rFonts w:ascii="Times New Roman" w:hAnsi="Times New Roman" w:eastAsia="Times New Roman" w:cs="Times New Roman"/>
      <w:sz w:val="21"/>
      <w:szCs w:val="28"/>
      <w:lang w:val="en-US" w:eastAsia="zh-CN" w:bidi="ar-SA"/>
    </w:rPr>
  </w:style>
  <w:style w:type="paragraph" w:customStyle="1" w:styleId="5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1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62">
    <w:name w:val="font71"/>
    <w:basedOn w:val="32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63">
    <w:name w:val="font91"/>
    <w:basedOn w:val="32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64">
    <w:name w:val="font01"/>
    <w:basedOn w:val="3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65">
    <w:name w:val="font112"/>
    <w:basedOn w:val="32"/>
    <w:qFormat/>
    <w:uiPriority w:val="0"/>
    <w:rPr>
      <w:rFonts w:hint="eastAsia" w:ascii="仿宋" w:hAnsi="仿宋" w:eastAsia="仿宋" w:cs="仿宋"/>
      <w:b/>
      <w:bCs/>
      <w:color w:val="0000FF"/>
      <w:sz w:val="21"/>
      <w:szCs w:val="21"/>
      <w:u w:val="none"/>
    </w:rPr>
  </w:style>
  <w:style w:type="character" w:customStyle="1" w:styleId="66">
    <w:name w:val="font121"/>
    <w:basedOn w:val="3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67">
    <w:name w:val="font21"/>
    <w:basedOn w:val="3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68">
    <w:name w:val="文件格式"/>
    <w:basedOn w:val="1"/>
    <w:qFormat/>
    <w:uiPriority w:val="0"/>
    <w:pPr>
      <w:widowControl/>
      <w:spacing w:line="460" w:lineRule="atLeast"/>
      <w:ind w:left="1" w:firstLine="419"/>
      <w:jc w:val="both"/>
      <w:textAlignment w:val="bottom"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2684</Words>
  <Characters>2955</Characters>
  <Paragraphs>1937</Paragraphs>
  <TotalTime>26</TotalTime>
  <ScaleCrop>false</ScaleCrop>
  <LinksUpToDate>false</LinksUpToDate>
  <CharactersWithSpaces>3065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Administrator.SKY-20181018UHR</dc:creator>
  <cp:lastModifiedBy>刘辉</cp:lastModifiedBy>
  <cp:lastPrinted>2023-07-01T01:24:00Z</cp:lastPrinted>
  <dcterms:modified xsi:type="dcterms:W3CDTF">2024-12-06T09:50:21Z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3D71E2CABA154653B4C6BD2239DB55BA_13</vt:lpwstr>
  </property>
</Properties>
</file>