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napToGrid w:val="0"/>
        <w:spacing w:before="0" w:beforeAutospacing="0" w:after="0" w:afterAutospacing="0" w:line="640" w:lineRule="exact"/>
        <w:ind w:left="0" w:right="0" w:firstLine="420"/>
        <w:jc w:val="center"/>
        <w:rPr>
          <w:rFonts w:hint="eastAsia" w:ascii="仿宋" w:hAnsi="仿宋" w:eastAsia="仿宋" w:cs="仿宋"/>
          <w:b/>
          <w:bCs/>
          <w:color w:val="333333"/>
          <w:sz w:val="36"/>
          <w:szCs w:val="36"/>
          <w:lang w:val="en-US" w:eastAsia="zh-CN" w:bidi="ar-SA"/>
        </w:rPr>
      </w:pPr>
      <w:r>
        <w:rPr>
          <w:rFonts w:hint="eastAsia" w:ascii="仿宋" w:hAnsi="仿宋" w:eastAsia="仿宋" w:cs="仿宋"/>
          <w:b/>
          <w:bCs/>
          <w:color w:val="333333"/>
          <w:sz w:val="36"/>
          <w:szCs w:val="36"/>
          <w:lang w:val="en-US" w:eastAsia="zh-CN" w:bidi="ar-SA"/>
        </w:rPr>
        <w:t>汶上县统计局</w:t>
      </w:r>
      <w:bookmarkStart w:id="0" w:name="_GoBack"/>
      <w:bookmarkEnd w:id="0"/>
    </w:p>
    <w:p>
      <w:pPr>
        <w:pStyle w:val="2"/>
        <w:widowControl/>
        <w:snapToGrid w:val="0"/>
        <w:spacing w:before="0" w:beforeAutospacing="0" w:after="0" w:afterAutospacing="0" w:line="640" w:lineRule="exact"/>
        <w:ind w:left="0" w:right="0" w:firstLine="420"/>
        <w:jc w:val="center"/>
        <w:rPr>
          <w:rFonts w:hint="default" w:ascii="仿宋" w:hAnsi="仿宋" w:eastAsia="仿宋" w:cs="仿宋"/>
          <w:b/>
          <w:bCs/>
          <w:color w:val="333333"/>
          <w:sz w:val="36"/>
          <w:szCs w:val="36"/>
          <w:lang w:val="en-US" w:eastAsia="zh-CN" w:bidi="ar-SA"/>
        </w:rPr>
      </w:pPr>
      <w:r>
        <w:rPr>
          <w:rFonts w:hint="eastAsia" w:ascii="仿宋" w:hAnsi="仿宋" w:eastAsia="仿宋" w:cs="仿宋"/>
          <w:b/>
          <w:bCs/>
          <w:color w:val="333333"/>
          <w:sz w:val="36"/>
          <w:szCs w:val="36"/>
          <w:lang w:val="en-US" w:eastAsia="zh-CN" w:bidi="ar-SA"/>
        </w:rPr>
        <w:t>2021年</w:t>
      </w:r>
      <w:r>
        <w:rPr>
          <w:rFonts w:hint="eastAsia" w:ascii="仿宋" w:hAnsi="仿宋" w:eastAsia="仿宋" w:cs="仿宋"/>
          <w:b/>
          <w:bCs/>
          <w:color w:val="333333"/>
          <w:sz w:val="36"/>
          <w:szCs w:val="36"/>
          <w:lang w:bidi="ar-SA"/>
        </w:rPr>
        <w:t>政府信息公开工作年度报告</w:t>
      </w:r>
    </w:p>
    <w:p>
      <w:pPr>
        <w:widowControl/>
        <w:snapToGrid w:val="0"/>
        <w:spacing w:line="620" w:lineRule="exact"/>
        <w:ind w:firstLine="480"/>
        <w:jc w:val="left"/>
        <w:rPr>
          <w:rFonts w:hint="eastAsia" w:ascii="仿宋" w:hAnsi="仿宋" w:eastAsia="仿宋" w:cs="仿宋"/>
          <w:color w:val="333333"/>
          <w:kern w:val="0"/>
          <w:sz w:val="31"/>
          <w:szCs w:val="31"/>
          <w:lang w:eastAsia="zh-CN"/>
        </w:rPr>
      </w:pPr>
      <w:r>
        <w:rPr>
          <w:rFonts w:hint="eastAsia" w:ascii="仿宋" w:hAnsi="仿宋" w:eastAsia="仿宋" w:cs="仿宋"/>
          <w:color w:val="333333"/>
          <w:kern w:val="0"/>
          <w:sz w:val="31"/>
          <w:szCs w:val="31"/>
          <w:lang w:eastAsia="zh-CN"/>
        </w:rPr>
        <w:t>本报告由</w:t>
      </w:r>
      <w:r>
        <w:rPr>
          <w:rFonts w:hint="eastAsia" w:ascii="仿宋" w:hAnsi="仿宋" w:eastAsia="仿宋" w:cs="仿宋"/>
          <w:color w:val="333333"/>
          <w:kern w:val="0"/>
          <w:sz w:val="31"/>
          <w:szCs w:val="31"/>
          <w:lang w:val="en-US" w:eastAsia="zh-CN"/>
        </w:rPr>
        <w:t>汶上</w:t>
      </w:r>
      <w:r>
        <w:rPr>
          <w:rFonts w:hint="eastAsia" w:ascii="仿宋" w:hAnsi="仿宋" w:eastAsia="仿宋" w:cs="仿宋"/>
          <w:color w:val="333333"/>
          <w:kern w:val="0"/>
          <w:sz w:val="31"/>
          <w:szCs w:val="31"/>
          <w:lang w:eastAsia="zh-CN"/>
        </w:rPr>
        <w:t>县统计局按照《中华人民共和国政府信息公开条例》（以下简称《条例》）和《中华人民共和国政府信息公开工作年度报告格式》（国办公开办函〔2021〕30号）要求编制。</w:t>
      </w:r>
    </w:p>
    <w:p>
      <w:pPr>
        <w:widowControl/>
        <w:snapToGrid w:val="0"/>
        <w:spacing w:line="620" w:lineRule="exact"/>
        <w:ind w:firstLine="480"/>
        <w:jc w:val="left"/>
        <w:rPr>
          <w:rFonts w:hint="eastAsia" w:ascii="仿宋" w:hAnsi="仿宋" w:eastAsia="仿宋" w:cs="仿宋"/>
          <w:color w:val="333333"/>
          <w:kern w:val="0"/>
          <w:sz w:val="31"/>
          <w:szCs w:val="31"/>
          <w:lang w:eastAsia="zh-CN"/>
        </w:rPr>
      </w:pPr>
      <w:r>
        <w:rPr>
          <w:rFonts w:hint="eastAsia" w:ascii="仿宋" w:hAnsi="仿宋" w:eastAsia="仿宋" w:cs="仿宋"/>
          <w:color w:val="333333"/>
          <w:kern w:val="0"/>
          <w:sz w:val="31"/>
          <w:szCs w:val="31"/>
          <w:lang w:eastAsia="zh-CN"/>
        </w:rPr>
        <w:t>本报告内容包括总体情况、主动公开政府信息情况、收到和处理政府信息公开申请情况、政府信息公开行政复议和行政诉讼情况、存在的主要问题及改进情况、其他需要报告的事项等六部分内容。</w:t>
      </w:r>
    </w:p>
    <w:p>
      <w:pPr>
        <w:widowControl/>
        <w:snapToGrid w:val="0"/>
        <w:spacing w:line="620" w:lineRule="exact"/>
        <w:ind w:firstLine="480"/>
        <w:jc w:val="left"/>
        <w:rPr>
          <w:rFonts w:hint="eastAsia" w:ascii="仿宋" w:hAnsi="仿宋" w:eastAsia="仿宋" w:cs="仿宋"/>
          <w:color w:val="333333"/>
          <w:kern w:val="0"/>
          <w:sz w:val="31"/>
          <w:szCs w:val="31"/>
          <w:lang w:eastAsia="zh-CN"/>
        </w:rPr>
      </w:pPr>
      <w:r>
        <w:rPr>
          <w:rFonts w:hint="eastAsia" w:ascii="仿宋" w:hAnsi="仿宋" w:eastAsia="仿宋" w:cs="仿宋"/>
          <w:color w:val="333333"/>
          <w:kern w:val="0"/>
          <w:sz w:val="31"/>
          <w:szCs w:val="31"/>
          <w:lang w:eastAsia="zh-CN"/>
        </w:rPr>
        <w:t>本报告所列数据的统计期限自2021年1月1日起至2021年12月31日止。本报告电子版可在“中国·</w:t>
      </w:r>
      <w:r>
        <w:rPr>
          <w:rFonts w:hint="eastAsia" w:ascii="仿宋" w:hAnsi="仿宋" w:eastAsia="仿宋" w:cs="仿宋"/>
          <w:color w:val="333333"/>
          <w:kern w:val="0"/>
          <w:sz w:val="31"/>
          <w:szCs w:val="31"/>
          <w:lang w:val="en-US" w:eastAsia="zh-CN"/>
        </w:rPr>
        <w:t>汶上</w:t>
      </w:r>
      <w:r>
        <w:rPr>
          <w:rFonts w:hint="eastAsia" w:ascii="仿宋" w:hAnsi="仿宋" w:eastAsia="仿宋" w:cs="仿宋"/>
          <w:color w:val="333333"/>
          <w:kern w:val="0"/>
          <w:sz w:val="31"/>
          <w:szCs w:val="31"/>
          <w:lang w:eastAsia="zh-CN"/>
        </w:rPr>
        <w:t>”政府门户网站（www.</w:t>
      </w:r>
      <w:r>
        <w:rPr>
          <w:rFonts w:hint="eastAsia" w:ascii="仿宋" w:hAnsi="仿宋" w:eastAsia="仿宋" w:cs="仿宋"/>
          <w:color w:val="333333"/>
          <w:kern w:val="0"/>
          <w:sz w:val="31"/>
          <w:szCs w:val="31"/>
          <w:lang w:val="en-US" w:eastAsia="zh-CN"/>
        </w:rPr>
        <w:t>wenshang</w:t>
      </w:r>
      <w:r>
        <w:rPr>
          <w:rFonts w:hint="eastAsia" w:ascii="仿宋" w:hAnsi="仿宋" w:eastAsia="仿宋" w:cs="仿宋"/>
          <w:color w:val="333333"/>
          <w:kern w:val="0"/>
          <w:sz w:val="31"/>
          <w:szCs w:val="31"/>
          <w:lang w:eastAsia="zh-CN"/>
        </w:rPr>
        <w:t>. gov.cn）查阅或下载。如对本报告有任何疑问，请与</w:t>
      </w:r>
      <w:r>
        <w:rPr>
          <w:rFonts w:hint="eastAsia" w:ascii="仿宋" w:hAnsi="仿宋" w:eastAsia="仿宋" w:cs="仿宋"/>
          <w:color w:val="333333"/>
          <w:kern w:val="0"/>
          <w:sz w:val="31"/>
          <w:szCs w:val="31"/>
          <w:lang w:val="en-US" w:eastAsia="zh-CN"/>
        </w:rPr>
        <w:t>汶上</w:t>
      </w:r>
      <w:r>
        <w:rPr>
          <w:rFonts w:hint="eastAsia" w:ascii="仿宋" w:hAnsi="仿宋" w:eastAsia="仿宋" w:cs="仿宋"/>
          <w:color w:val="333333"/>
          <w:kern w:val="0"/>
          <w:sz w:val="31"/>
          <w:szCs w:val="31"/>
          <w:lang w:eastAsia="zh-CN"/>
        </w:rPr>
        <w:t>县统计局办公室联系（地址：</w:t>
      </w:r>
      <w:r>
        <w:rPr>
          <w:rFonts w:hint="eastAsia" w:ascii="仿宋" w:hAnsi="仿宋" w:eastAsia="仿宋" w:cs="仿宋"/>
          <w:color w:val="333333"/>
          <w:kern w:val="0"/>
          <w:sz w:val="31"/>
          <w:szCs w:val="31"/>
          <w:lang w:val="en-US" w:eastAsia="zh-CN"/>
        </w:rPr>
        <w:t>汶上</w:t>
      </w:r>
      <w:r>
        <w:rPr>
          <w:rFonts w:hint="eastAsia" w:ascii="仿宋" w:hAnsi="仿宋" w:eastAsia="仿宋" w:cs="仿宋"/>
          <w:color w:val="333333"/>
          <w:kern w:val="0"/>
          <w:sz w:val="31"/>
          <w:szCs w:val="31"/>
          <w:lang w:eastAsia="zh-CN"/>
        </w:rPr>
        <w:t>县</w:t>
      </w:r>
      <w:r>
        <w:rPr>
          <w:rFonts w:hint="eastAsia" w:ascii="仿宋" w:hAnsi="仿宋" w:eastAsia="仿宋" w:cs="仿宋"/>
          <w:color w:val="333333"/>
          <w:kern w:val="0"/>
          <w:sz w:val="31"/>
          <w:szCs w:val="31"/>
          <w:lang w:val="en-US" w:eastAsia="zh-CN"/>
        </w:rPr>
        <w:t>政和路国防大厦16楼</w:t>
      </w:r>
      <w:r>
        <w:rPr>
          <w:rFonts w:hint="eastAsia" w:ascii="仿宋" w:hAnsi="仿宋" w:eastAsia="仿宋" w:cs="仿宋"/>
          <w:color w:val="333333"/>
          <w:kern w:val="0"/>
          <w:sz w:val="31"/>
          <w:szCs w:val="31"/>
          <w:lang w:eastAsia="zh-CN"/>
        </w:rPr>
        <w:t>；电话：0537-</w:t>
      </w:r>
      <w:r>
        <w:rPr>
          <w:rFonts w:hint="eastAsia" w:ascii="仿宋" w:hAnsi="仿宋" w:eastAsia="仿宋" w:cs="仿宋"/>
          <w:color w:val="333333"/>
          <w:kern w:val="0"/>
          <w:sz w:val="31"/>
          <w:szCs w:val="31"/>
          <w:lang w:val="en-US" w:eastAsia="zh-CN"/>
        </w:rPr>
        <w:t>7293606。</w:t>
      </w:r>
    </w:p>
    <w:p>
      <w:pPr>
        <w:widowControl/>
        <w:snapToGrid w:val="0"/>
        <w:spacing w:line="620" w:lineRule="exact"/>
        <w:ind w:firstLine="480"/>
        <w:jc w:val="left"/>
        <w:rPr>
          <w:rFonts w:hint="eastAsia" w:ascii="仿宋" w:hAnsi="仿宋" w:eastAsia="仿宋" w:cs="仿宋"/>
          <w:color w:val="333333"/>
          <w:kern w:val="0"/>
          <w:sz w:val="31"/>
          <w:szCs w:val="31"/>
          <w:lang w:eastAsia="zh-CN"/>
        </w:rPr>
      </w:pPr>
      <w:r>
        <w:rPr>
          <w:rFonts w:hint="eastAsia" w:ascii="仿宋" w:hAnsi="仿宋" w:eastAsia="仿宋" w:cs="仿宋"/>
          <w:color w:val="333333"/>
          <w:kern w:val="0"/>
          <w:sz w:val="31"/>
          <w:szCs w:val="31"/>
          <w:lang w:eastAsia="zh-CN"/>
        </w:rPr>
        <w:t>（</w:t>
      </w:r>
      <w:r>
        <w:rPr>
          <w:rFonts w:hint="eastAsia" w:ascii="仿宋" w:hAnsi="仿宋" w:eastAsia="仿宋" w:cs="仿宋"/>
          <w:color w:val="333333"/>
          <w:kern w:val="0"/>
          <w:sz w:val="31"/>
          <w:szCs w:val="31"/>
          <w:lang w:val="en-US" w:eastAsia="zh-CN"/>
        </w:rPr>
        <w:t>一</w:t>
      </w:r>
      <w:r>
        <w:rPr>
          <w:rFonts w:hint="eastAsia" w:ascii="仿宋" w:hAnsi="仿宋" w:eastAsia="仿宋" w:cs="仿宋"/>
          <w:color w:val="333333"/>
          <w:kern w:val="0"/>
          <w:sz w:val="31"/>
          <w:szCs w:val="31"/>
          <w:lang w:eastAsia="zh-CN"/>
        </w:rPr>
        <w:t>）</w:t>
      </w:r>
      <w:r>
        <w:rPr>
          <w:rFonts w:hint="eastAsia" w:ascii="仿宋" w:hAnsi="仿宋" w:eastAsia="仿宋" w:cs="仿宋"/>
          <w:color w:val="333333"/>
          <w:kern w:val="0"/>
          <w:sz w:val="31"/>
          <w:szCs w:val="31"/>
          <w:lang w:val="en-US" w:eastAsia="zh-CN"/>
        </w:rPr>
        <w:t>总体</w:t>
      </w:r>
      <w:r>
        <w:rPr>
          <w:rFonts w:hint="eastAsia" w:ascii="仿宋" w:hAnsi="仿宋" w:eastAsia="仿宋" w:cs="仿宋"/>
          <w:color w:val="333333"/>
          <w:kern w:val="0"/>
          <w:sz w:val="31"/>
          <w:szCs w:val="31"/>
          <w:lang w:eastAsia="zh-CN"/>
        </w:rPr>
        <w:t>情况</w:t>
      </w:r>
    </w:p>
    <w:p>
      <w:pPr>
        <w:widowControl/>
        <w:snapToGrid w:val="0"/>
        <w:spacing w:line="620" w:lineRule="exact"/>
        <w:ind w:firstLine="480"/>
        <w:jc w:val="left"/>
        <w:rPr>
          <w:rFonts w:hint="eastAsia" w:ascii="仿宋" w:hAnsi="仿宋" w:eastAsia="仿宋" w:cs="仿宋"/>
          <w:color w:val="333333"/>
          <w:kern w:val="0"/>
          <w:sz w:val="31"/>
          <w:szCs w:val="31"/>
          <w:lang w:eastAsia="zh-CN"/>
        </w:rPr>
      </w:pPr>
      <w:r>
        <w:rPr>
          <w:rFonts w:hint="eastAsia" w:ascii="仿宋" w:hAnsi="仿宋" w:eastAsia="仿宋" w:cs="仿宋"/>
          <w:color w:val="333333"/>
          <w:kern w:val="0"/>
          <w:sz w:val="31"/>
          <w:szCs w:val="31"/>
          <w:lang w:eastAsia="zh-CN"/>
        </w:rPr>
        <w:t>2021年，我局紧紧围绕县委、县政府中心工作，立足统计职能，全面深化统计管理改革，全力构建现代统计体系，提高统计数据质量，强化统计法治建设，推进重点领域信息公开，探索开发多样化统计产品，促进统计工作更加公开透明，政府信息公开工作取得新成效。</w:t>
      </w:r>
    </w:p>
    <w:p>
      <w:pPr>
        <w:widowControl/>
        <w:snapToGrid w:val="0"/>
        <w:spacing w:line="620" w:lineRule="exact"/>
        <w:ind w:firstLine="480"/>
        <w:jc w:val="left"/>
        <w:rPr>
          <w:rFonts w:hint="eastAsia" w:ascii="仿宋" w:hAnsi="仿宋" w:eastAsia="仿宋" w:cs="仿宋"/>
          <w:color w:val="333333"/>
          <w:kern w:val="0"/>
          <w:sz w:val="31"/>
          <w:szCs w:val="31"/>
          <w:lang w:val="en-US" w:eastAsia="zh-CN"/>
        </w:rPr>
      </w:pPr>
      <w:r>
        <w:rPr>
          <w:rFonts w:hint="eastAsia" w:ascii="仿宋" w:hAnsi="仿宋" w:eastAsia="仿宋" w:cs="仿宋"/>
          <w:color w:val="333333"/>
          <w:kern w:val="0"/>
          <w:sz w:val="31"/>
          <w:szCs w:val="31"/>
          <w:lang w:val="en-US" w:eastAsia="zh-CN"/>
        </w:rPr>
        <w:t>1.</w:t>
      </w:r>
      <w:r>
        <w:rPr>
          <w:rFonts w:hint="eastAsia" w:ascii="仿宋" w:hAnsi="仿宋" w:eastAsia="仿宋" w:cs="仿宋"/>
          <w:color w:val="333333"/>
          <w:kern w:val="0"/>
          <w:sz w:val="31"/>
          <w:szCs w:val="31"/>
          <w:lang w:eastAsia="zh-CN"/>
        </w:rPr>
        <w:t>主动公开。建立、健全了政府信息主动公开、依申请公开、保密审查等相关制度，明确职责、程序、公开方式和时限要求，不断推进政务公开工作的规范性。主动公开本单位政府信息</w:t>
      </w:r>
      <w:r>
        <w:rPr>
          <w:rFonts w:hint="eastAsia" w:ascii="仿宋" w:hAnsi="仿宋" w:eastAsia="仿宋" w:cs="仿宋"/>
          <w:color w:val="333333"/>
          <w:kern w:val="0"/>
          <w:sz w:val="31"/>
          <w:szCs w:val="31"/>
          <w:lang w:val="en-US" w:eastAsia="zh-CN"/>
        </w:rPr>
        <w:t>367条：</w:t>
      </w:r>
      <w:r>
        <w:rPr>
          <w:rFonts w:hint="eastAsia" w:ascii="仿宋" w:hAnsi="仿宋" w:eastAsia="仿宋" w:cs="仿宋"/>
          <w:color w:val="333333"/>
          <w:kern w:val="0"/>
          <w:sz w:val="31"/>
          <w:szCs w:val="31"/>
          <w:lang w:eastAsia="zh-CN"/>
        </w:rPr>
        <w:t>全年通过</w:t>
      </w:r>
      <w:r>
        <w:rPr>
          <w:rFonts w:hint="eastAsia" w:ascii="仿宋" w:hAnsi="仿宋" w:eastAsia="仿宋" w:cs="仿宋"/>
          <w:color w:val="333333"/>
          <w:kern w:val="0"/>
          <w:sz w:val="31"/>
          <w:szCs w:val="31"/>
          <w:lang w:val="en-US" w:eastAsia="zh-CN"/>
        </w:rPr>
        <w:t>汶上</w:t>
      </w:r>
      <w:r>
        <w:rPr>
          <w:rFonts w:hint="eastAsia" w:ascii="仿宋" w:hAnsi="仿宋" w:eastAsia="仿宋" w:cs="仿宋"/>
          <w:color w:val="333333"/>
          <w:kern w:val="0"/>
          <w:sz w:val="31"/>
          <w:szCs w:val="31"/>
          <w:lang w:eastAsia="zh-CN"/>
        </w:rPr>
        <w:t>县人民政府网站主动公开本部门政务公开信息</w:t>
      </w:r>
      <w:r>
        <w:rPr>
          <w:rFonts w:hint="eastAsia" w:ascii="仿宋" w:hAnsi="仿宋" w:eastAsia="仿宋" w:cs="仿宋"/>
          <w:color w:val="333333"/>
          <w:kern w:val="0"/>
          <w:sz w:val="31"/>
          <w:szCs w:val="31"/>
          <w:lang w:val="en-US" w:eastAsia="zh-CN"/>
        </w:rPr>
        <w:t>123</w:t>
      </w:r>
      <w:r>
        <w:rPr>
          <w:rFonts w:hint="eastAsia" w:ascii="仿宋" w:hAnsi="仿宋" w:eastAsia="仿宋" w:cs="仿宋"/>
          <w:color w:val="333333"/>
          <w:kern w:val="0"/>
          <w:sz w:val="31"/>
          <w:szCs w:val="31"/>
          <w:lang w:eastAsia="zh-CN"/>
        </w:rPr>
        <w:t>条，</w:t>
      </w:r>
      <w:r>
        <w:rPr>
          <w:rFonts w:hint="eastAsia" w:ascii="仿宋" w:hAnsi="仿宋" w:eastAsia="仿宋" w:cs="仿宋"/>
          <w:color w:val="333333"/>
          <w:kern w:val="0"/>
          <w:sz w:val="31"/>
          <w:szCs w:val="31"/>
          <w:lang w:val="en-US" w:eastAsia="zh-CN"/>
        </w:rPr>
        <w:t>比去年增加63条，</w:t>
      </w:r>
      <w:r>
        <w:rPr>
          <w:rFonts w:hint="eastAsia" w:ascii="仿宋" w:hAnsi="仿宋" w:eastAsia="仿宋" w:cs="仿宋"/>
          <w:color w:val="333333"/>
          <w:kern w:val="0"/>
          <w:sz w:val="31"/>
          <w:szCs w:val="31"/>
          <w:lang w:eastAsia="zh-CN"/>
        </w:rPr>
        <w:t>其中</w:t>
      </w:r>
      <w:r>
        <w:rPr>
          <w:rFonts w:hint="eastAsia" w:ascii="仿宋" w:hAnsi="仿宋" w:eastAsia="仿宋" w:cs="仿宋"/>
          <w:color w:val="333333"/>
          <w:kern w:val="0"/>
          <w:sz w:val="31"/>
          <w:szCs w:val="31"/>
          <w:lang w:val="en-US" w:eastAsia="zh-CN"/>
        </w:rPr>
        <w:t>政务动态59条，政民互动1条，政府信息公开63条；主动公开规范性文件数0条，全年通过微信公众号发布信息244条，比去年增加107条。</w:t>
      </w:r>
    </w:p>
    <w:p>
      <w:pPr>
        <w:pStyle w:val="2"/>
        <w:keepNext w:val="0"/>
        <w:keepLines w:val="0"/>
        <w:widowControl/>
        <w:numPr>
          <w:ilvl w:val="0"/>
          <w:numId w:val="0"/>
        </w:numPr>
        <w:suppressLineNumbers w:val="0"/>
        <w:wordWrap w:val="0"/>
        <w:spacing w:before="376" w:beforeAutospacing="0" w:after="0" w:afterAutospacing="0" w:line="315" w:lineRule="atLeast"/>
        <w:ind w:left="900" w:leftChars="0" w:right="0" w:rightChars="0"/>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drawing>
          <wp:inline distT="0" distB="0" distL="114300" distR="114300">
            <wp:extent cx="5209540" cy="2558415"/>
            <wp:effectExtent l="0" t="0" r="10160" b="13335"/>
            <wp:docPr id="3" name="图片 3" descr="微信图片_20220121150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121150146"/>
                    <pic:cNvPicPr>
                      <a:picLocks noChangeAspect="1"/>
                    </pic:cNvPicPr>
                  </pic:nvPicPr>
                  <pic:blipFill>
                    <a:blip r:embed="rId4"/>
                    <a:stretch>
                      <a:fillRect/>
                    </a:stretch>
                  </pic:blipFill>
                  <pic:spPr>
                    <a:xfrm>
                      <a:off x="0" y="0"/>
                      <a:ext cx="5209540" cy="2558415"/>
                    </a:xfrm>
                    <a:prstGeom prst="rect">
                      <a:avLst/>
                    </a:prstGeom>
                  </pic:spPr>
                </pic:pic>
              </a:graphicData>
            </a:graphic>
          </wp:inline>
        </w:drawing>
      </w:r>
    </w:p>
    <w:p>
      <w:pPr>
        <w:pStyle w:val="2"/>
        <w:keepNext w:val="0"/>
        <w:keepLines w:val="0"/>
        <w:widowControl/>
        <w:numPr>
          <w:ilvl w:val="0"/>
          <w:numId w:val="0"/>
        </w:numPr>
        <w:suppressLineNumbers w:val="0"/>
        <w:wordWrap w:val="0"/>
        <w:spacing w:before="376" w:beforeAutospacing="0" w:after="0" w:afterAutospacing="0" w:line="315" w:lineRule="atLeast"/>
        <w:ind w:left="900" w:leftChars="0" w:right="0" w:rightChars="0"/>
        <w:rPr>
          <w:rFonts w:hint="eastAsia" w:ascii="宋体" w:hAnsi="宋体" w:eastAsia="宋体" w:cs="宋体"/>
          <w:color w:val="333333"/>
          <w:sz w:val="24"/>
          <w:szCs w:val="24"/>
          <w:lang w:val="en-US" w:eastAsia="zh-CN"/>
        </w:rPr>
      </w:pPr>
    </w:p>
    <w:p>
      <w:pPr>
        <w:pStyle w:val="2"/>
        <w:keepNext w:val="0"/>
        <w:keepLines w:val="0"/>
        <w:widowControl/>
        <w:numPr>
          <w:ilvl w:val="0"/>
          <w:numId w:val="0"/>
        </w:numPr>
        <w:suppressLineNumbers w:val="0"/>
        <w:wordWrap w:val="0"/>
        <w:spacing w:before="376" w:beforeAutospacing="0" w:after="0" w:afterAutospacing="0" w:line="315" w:lineRule="atLeast"/>
        <w:ind w:left="900" w:leftChars="0" w:right="0" w:rightChars="0"/>
        <w:jc w:val="left"/>
        <w:rPr>
          <w:rFonts w:hint="eastAsia" w:ascii="宋体" w:hAnsi="宋体" w:eastAsia="宋体" w:cs="宋体"/>
          <w:color w:val="333333"/>
          <w:sz w:val="24"/>
          <w:szCs w:val="24"/>
          <w:lang w:val="en-US" w:eastAsia="zh-CN"/>
        </w:rPr>
      </w:pPr>
      <w:r>
        <w:drawing>
          <wp:inline distT="0" distB="0" distL="114300" distR="114300">
            <wp:extent cx="4572000" cy="2743200"/>
            <wp:effectExtent l="4445" t="4445" r="14605" b="14605"/>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2"/>
        <w:keepNext w:val="0"/>
        <w:keepLines w:val="0"/>
        <w:widowControl/>
        <w:numPr>
          <w:ilvl w:val="0"/>
          <w:numId w:val="0"/>
        </w:numPr>
        <w:suppressLineNumbers w:val="0"/>
        <w:wordWrap w:val="0"/>
        <w:spacing w:before="376" w:beforeAutospacing="0" w:after="0" w:afterAutospacing="0" w:line="315" w:lineRule="atLeast"/>
        <w:ind w:left="900" w:leftChars="0" w:right="0" w:rightChars="0"/>
        <w:rPr>
          <w:color w:val="333333"/>
          <w:sz w:val="24"/>
          <w:szCs w:val="24"/>
        </w:rPr>
      </w:pPr>
    </w:p>
    <w:p>
      <w:pPr>
        <w:widowControl/>
        <w:snapToGrid w:val="0"/>
        <w:spacing w:line="620" w:lineRule="exact"/>
        <w:ind w:firstLine="480"/>
        <w:jc w:val="left"/>
        <w:rPr>
          <w:rFonts w:hint="eastAsia" w:ascii="仿宋" w:hAnsi="仿宋" w:eastAsia="仿宋" w:cs="仿宋"/>
          <w:color w:val="333333"/>
          <w:kern w:val="0"/>
          <w:sz w:val="31"/>
          <w:szCs w:val="31"/>
          <w:lang w:eastAsia="zh-CN"/>
        </w:rPr>
      </w:pPr>
      <w:r>
        <w:rPr>
          <w:rFonts w:hint="eastAsia" w:ascii="仿宋" w:hAnsi="仿宋" w:eastAsia="仿宋" w:cs="仿宋"/>
          <w:color w:val="333333"/>
          <w:kern w:val="0"/>
          <w:sz w:val="31"/>
          <w:szCs w:val="31"/>
          <w:lang w:val="en-US" w:eastAsia="zh-CN"/>
        </w:rPr>
        <w:t>2.</w:t>
      </w:r>
      <w:r>
        <w:rPr>
          <w:rFonts w:hint="eastAsia" w:ascii="仿宋" w:hAnsi="仿宋" w:eastAsia="仿宋" w:cs="仿宋"/>
          <w:color w:val="333333"/>
          <w:kern w:val="0"/>
          <w:sz w:val="31"/>
          <w:szCs w:val="31"/>
          <w:lang w:eastAsia="zh-CN"/>
        </w:rPr>
        <w:t>依申请公开。全年共收到政府信息公开申请1件，申请查询汶上县寅寺镇宋辛庄村集体组织成员人口总数（以最近一次人口普查数据为准） ，我局根据本单位所掌握的数据情况，</w:t>
      </w:r>
      <w:r>
        <w:rPr>
          <w:rFonts w:hint="eastAsia" w:ascii="仿宋" w:hAnsi="仿宋" w:eastAsia="仿宋" w:cs="仿宋"/>
          <w:color w:val="333333"/>
          <w:kern w:val="0"/>
          <w:sz w:val="31"/>
          <w:szCs w:val="31"/>
          <w:lang w:val="en-US" w:eastAsia="zh-CN"/>
        </w:rPr>
        <w:t>按时予以答复</w:t>
      </w:r>
      <w:r>
        <w:rPr>
          <w:rFonts w:hint="eastAsia" w:ascii="仿宋" w:hAnsi="仿宋" w:eastAsia="仿宋" w:cs="仿宋"/>
          <w:color w:val="333333"/>
          <w:kern w:val="0"/>
          <w:sz w:val="31"/>
          <w:szCs w:val="31"/>
          <w:lang w:eastAsia="zh-CN"/>
        </w:rPr>
        <w:t>。</w:t>
      </w:r>
    </w:p>
    <w:p>
      <w:pPr>
        <w:widowControl/>
        <w:snapToGrid w:val="0"/>
        <w:spacing w:line="620" w:lineRule="exact"/>
        <w:ind w:firstLine="480"/>
        <w:jc w:val="left"/>
        <w:rPr>
          <w:rFonts w:hint="eastAsia" w:ascii="仿宋" w:hAnsi="仿宋" w:eastAsia="仿宋" w:cs="仿宋"/>
          <w:color w:val="333333"/>
          <w:kern w:val="0"/>
          <w:sz w:val="31"/>
          <w:szCs w:val="31"/>
          <w:lang w:eastAsia="zh-CN"/>
        </w:rPr>
      </w:pPr>
      <w:r>
        <w:rPr>
          <w:rFonts w:hint="eastAsia" w:ascii="仿宋" w:hAnsi="仿宋" w:eastAsia="仿宋" w:cs="仿宋"/>
          <w:color w:val="333333"/>
          <w:kern w:val="0"/>
          <w:sz w:val="31"/>
          <w:szCs w:val="31"/>
          <w:lang w:val="en-US" w:eastAsia="zh-CN"/>
        </w:rPr>
        <w:t>3.</w:t>
      </w:r>
      <w:r>
        <w:rPr>
          <w:rFonts w:hint="eastAsia" w:ascii="仿宋" w:hAnsi="仿宋" w:eastAsia="仿宋" w:cs="仿宋"/>
          <w:color w:val="333333"/>
          <w:kern w:val="0"/>
          <w:sz w:val="31"/>
          <w:szCs w:val="31"/>
          <w:lang w:eastAsia="zh-CN"/>
        </w:rPr>
        <w:t>政府信息管理。认真贯彻落实政府信息管理制度，严格执行“分级审核、先审后发”程序，建立了局主要领导亲自抓、分管领导具体抓、具体工作专人干的工作机制，安排专人负责全局信息公开维护和更新。</w:t>
      </w:r>
    </w:p>
    <w:p>
      <w:pPr>
        <w:widowControl/>
        <w:snapToGrid w:val="0"/>
        <w:spacing w:line="620" w:lineRule="exact"/>
        <w:ind w:firstLine="480"/>
        <w:jc w:val="left"/>
        <w:rPr>
          <w:rFonts w:hint="eastAsia" w:ascii="仿宋" w:hAnsi="仿宋" w:eastAsia="仿宋" w:cs="仿宋"/>
          <w:color w:val="333333"/>
          <w:kern w:val="0"/>
          <w:sz w:val="31"/>
          <w:szCs w:val="31"/>
          <w:lang w:eastAsia="zh-CN"/>
        </w:rPr>
      </w:pPr>
      <w:r>
        <w:rPr>
          <w:rFonts w:hint="eastAsia" w:ascii="仿宋" w:hAnsi="仿宋" w:eastAsia="仿宋" w:cs="仿宋"/>
          <w:color w:val="333333"/>
          <w:kern w:val="0"/>
          <w:sz w:val="31"/>
          <w:szCs w:val="31"/>
          <w:lang w:val="en-US" w:eastAsia="zh-CN"/>
        </w:rPr>
        <w:t>4.</w:t>
      </w:r>
      <w:r>
        <w:rPr>
          <w:rFonts w:hint="eastAsia" w:ascii="仿宋" w:hAnsi="仿宋" w:eastAsia="仿宋" w:cs="仿宋"/>
          <w:color w:val="333333"/>
          <w:kern w:val="0"/>
          <w:sz w:val="31"/>
          <w:szCs w:val="31"/>
          <w:lang w:eastAsia="zh-CN"/>
        </w:rPr>
        <w:t>政府信息公开平台建设。在</w:t>
      </w:r>
      <w:r>
        <w:rPr>
          <w:rFonts w:hint="eastAsia" w:ascii="仿宋" w:hAnsi="仿宋" w:eastAsia="仿宋" w:cs="仿宋"/>
          <w:color w:val="333333"/>
          <w:kern w:val="0"/>
          <w:sz w:val="31"/>
          <w:szCs w:val="31"/>
          <w:lang w:val="en-US" w:eastAsia="zh-CN"/>
        </w:rPr>
        <w:t>汶上</w:t>
      </w:r>
      <w:r>
        <w:rPr>
          <w:rFonts w:hint="eastAsia" w:ascii="仿宋" w:hAnsi="仿宋" w:eastAsia="仿宋" w:cs="仿宋"/>
          <w:color w:val="333333"/>
          <w:kern w:val="0"/>
          <w:sz w:val="31"/>
          <w:szCs w:val="31"/>
          <w:lang w:eastAsia="zh-CN"/>
        </w:rPr>
        <w:t>县人民政府网站上公开政务信息，及时更新责任范围内的信息内容，发布统计数据、统计分析及统计公报，及时更新政务公开指南、目录，公开本单位机构职能、工作动态、政策文件、建议提案等内容，方便公众及时查询本单位相关信息。</w:t>
      </w:r>
    </w:p>
    <w:p>
      <w:pPr>
        <w:widowControl/>
        <w:snapToGrid w:val="0"/>
        <w:spacing w:line="620" w:lineRule="exact"/>
        <w:ind w:firstLine="480"/>
        <w:jc w:val="left"/>
        <w:rPr>
          <w:rFonts w:hint="eastAsia" w:ascii="仿宋" w:hAnsi="仿宋" w:eastAsia="仿宋" w:cs="仿宋"/>
          <w:color w:val="333333"/>
          <w:kern w:val="0"/>
          <w:sz w:val="31"/>
          <w:szCs w:val="31"/>
          <w:lang w:val="en-US" w:eastAsia="zh-CN"/>
        </w:rPr>
      </w:pPr>
      <w:r>
        <w:rPr>
          <w:rFonts w:hint="eastAsia" w:ascii="仿宋" w:hAnsi="仿宋" w:eastAsia="仿宋" w:cs="仿宋"/>
          <w:color w:val="333333"/>
          <w:kern w:val="0"/>
          <w:sz w:val="31"/>
          <w:szCs w:val="31"/>
          <w:lang w:val="en-US" w:eastAsia="zh-CN"/>
        </w:rPr>
        <w:t>为深入推进阳光政府建设，充分发挥政务新媒体在推进政务公开、凝聚社会共识、创新社会治理等领域重要作用，开通“汶上县统计局”微信公众号。公众只需搜索微信公众号“汶上县统计局”并点击关注，即可第一时间了解汶上县统计局承担组织领导和协调全县统计工作的重大政策、重要活动、重点信息。“汶上县统计局”微信公众号是汶上县统计局办公室信息公开的重要平台，它将内容延伸到了移动端，成为公众通过手机便捷了解汶上统计的重要窗口。“汶上县统计局”微信公众号设有“消息”“视频”“服务”三个板块，通过“消息”栏目可了解政务、会议决策，查阅公告公示、决策公开、政策解读等有关统计文件；“服务”栏目有服务指南、O2O服务重要信息；“视频”栏目主动回应社会关切，加强政民互动，是重要的统计信息可视化窗口。微信公众号的上线运行，将进一步拉近政府与公众的距离，提升政府的透明度和公信力，推动我县政府建设向纵深发展。</w:t>
      </w:r>
    </w:p>
    <w:p>
      <w:pPr>
        <w:widowControl/>
        <w:snapToGrid w:val="0"/>
        <w:spacing w:line="620" w:lineRule="exact"/>
        <w:ind w:firstLine="480"/>
        <w:jc w:val="left"/>
        <w:rPr>
          <w:rFonts w:hint="eastAsia" w:ascii="仿宋" w:hAnsi="仿宋" w:eastAsia="仿宋" w:cs="仿宋"/>
          <w:color w:val="333333"/>
          <w:kern w:val="0"/>
          <w:sz w:val="31"/>
          <w:szCs w:val="31"/>
          <w:lang w:eastAsia="zh-CN"/>
        </w:rPr>
      </w:pPr>
      <w:r>
        <w:rPr>
          <w:rFonts w:hint="eastAsia" w:ascii="仿宋" w:hAnsi="仿宋" w:eastAsia="仿宋" w:cs="仿宋"/>
          <w:color w:val="333333"/>
          <w:kern w:val="0"/>
          <w:sz w:val="31"/>
          <w:szCs w:val="31"/>
          <w:lang w:val="en-US" w:eastAsia="zh-CN"/>
        </w:rPr>
        <w:t>5.</w:t>
      </w:r>
      <w:r>
        <w:rPr>
          <w:rFonts w:hint="eastAsia" w:ascii="仿宋" w:hAnsi="仿宋" w:eastAsia="仿宋" w:cs="仿宋"/>
          <w:color w:val="333333"/>
          <w:kern w:val="0"/>
          <w:sz w:val="31"/>
          <w:szCs w:val="31"/>
          <w:lang w:eastAsia="zh-CN"/>
        </w:rPr>
        <w:t>监督保障情况。为切实做好政务公开工作，深化主动公开内容，我局逐步健全政府信息公开工作机制，切实加强对信息公开工作的监督检查，确保各项准备工作和措施落实到位。加强对信息公开工作的督查指导，研究解决工作中出现的新情况和新问题。对于出现问题的方面，给予通报和追究责任，促进信息公开工作有序、有效开展。建立和完善信息发布协调与处理机制，保证发布的信息准确一致。</w:t>
      </w:r>
    </w:p>
    <w:p>
      <w:pPr>
        <w:widowControl/>
        <w:snapToGrid w:val="0"/>
        <w:spacing w:line="620" w:lineRule="exact"/>
        <w:ind w:firstLine="480"/>
        <w:jc w:val="left"/>
        <w:rPr>
          <w:rFonts w:hint="eastAsia" w:ascii="仿宋" w:hAnsi="仿宋" w:eastAsia="仿宋" w:cs="仿宋"/>
          <w:color w:val="333333"/>
          <w:kern w:val="0"/>
          <w:sz w:val="31"/>
          <w:szCs w:val="31"/>
          <w:lang w:eastAsia="zh-CN"/>
        </w:rPr>
      </w:pPr>
      <w:r>
        <w:rPr>
          <w:rFonts w:hint="eastAsia" w:ascii="仿宋" w:hAnsi="仿宋" w:eastAsia="仿宋" w:cs="仿宋"/>
          <w:color w:val="333333"/>
          <w:kern w:val="0"/>
          <w:sz w:val="31"/>
          <w:szCs w:val="31"/>
          <w:lang w:eastAsia="zh-CN"/>
        </w:rPr>
        <w:t>（</w:t>
      </w:r>
      <w:r>
        <w:rPr>
          <w:rFonts w:hint="eastAsia" w:ascii="仿宋" w:hAnsi="仿宋" w:eastAsia="仿宋" w:cs="仿宋"/>
          <w:color w:val="333333"/>
          <w:kern w:val="0"/>
          <w:sz w:val="31"/>
          <w:szCs w:val="31"/>
          <w:lang w:val="en-US" w:eastAsia="zh-CN"/>
        </w:rPr>
        <w:t>二）</w:t>
      </w:r>
      <w:r>
        <w:rPr>
          <w:rFonts w:hint="eastAsia" w:ascii="仿宋" w:hAnsi="仿宋" w:eastAsia="仿宋" w:cs="仿宋"/>
          <w:color w:val="333333"/>
          <w:kern w:val="0"/>
          <w:sz w:val="31"/>
          <w:szCs w:val="31"/>
          <w:lang w:eastAsia="zh-CN"/>
        </w:rPr>
        <w:t>行政机关主动公开政府信息情况</w:t>
      </w:r>
    </w:p>
    <w:p>
      <w:pPr>
        <w:widowControl/>
        <w:spacing w:line="340" w:lineRule="exact"/>
        <w:jc w:val="center"/>
        <w:rPr>
          <w:rFonts w:hint="eastAsia" w:ascii="仿宋_GB2312" w:hAnsi="宋体" w:eastAsia="仿宋_GB2312" w:cs="宋体"/>
          <w:bCs/>
          <w:szCs w:val="21"/>
          <w:lang w:eastAsia="zh-CN" w:bidi="ar"/>
        </w:rPr>
      </w:pPr>
    </w:p>
    <w:tbl>
      <w:tblPr>
        <w:tblStyle w:val="3"/>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340"/>
        <w:gridCol w:w="2053"/>
        <w:gridCol w:w="2139"/>
        <w:gridCol w:w="19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blCellSpacing w:w="0" w:type="dxa"/>
          <w:jc w:val="center"/>
        </w:trPr>
        <w:tc>
          <w:tcPr>
            <w:tcW w:w="8775"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信息内容</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本年制发件数</w:t>
            </w:r>
          </w:p>
        </w:tc>
        <w:tc>
          <w:tcPr>
            <w:tcW w:w="222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本年废止件数</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现行有效件数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规章</w:t>
            </w:r>
          </w:p>
        </w:tc>
        <w:tc>
          <w:tcPr>
            <w:tcW w:w="21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val="en-US" w:eastAsia="zh-CN" w:bidi="ar"/>
              </w:rPr>
              <w:t>0</w:t>
            </w:r>
          </w:p>
        </w:tc>
        <w:tc>
          <w:tcPr>
            <w:tcW w:w="222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val="en-US" w:eastAsia="zh-CN" w:bidi="ar"/>
              </w:rPr>
              <w:t>0</w:t>
            </w:r>
          </w:p>
        </w:tc>
        <w:tc>
          <w:tcPr>
            <w:tcW w:w="19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行政规范性文件</w:t>
            </w:r>
          </w:p>
        </w:tc>
        <w:tc>
          <w:tcPr>
            <w:tcW w:w="21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val="en-US" w:eastAsia="zh-CN" w:bidi="ar"/>
              </w:rPr>
              <w:t>0</w:t>
            </w:r>
          </w:p>
        </w:tc>
        <w:tc>
          <w:tcPr>
            <w:tcW w:w="222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val="en-US" w:eastAsia="zh-CN" w:bidi="ar"/>
              </w:rPr>
              <w:t>0</w:t>
            </w:r>
          </w:p>
        </w:tc>
        <w:tc>
          <w:tcPr>
            <w:tcW w:w="19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blCellSpacing w:w="0" w:type="dxa"/>
          <w:jc w:val="center"/>
        </w:trPr>
        <w:tc>
          <w:tcPr>
            <w:tcW w:w="8775" w:type="dxa"/>
            <w:gridSpan w:val="4"/>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行政许可</w:t>
            </w:r>
          </w:p>
        </w:tc>
        <w:tc>
          <w:tcPr>
            <w:tcW w:w="6345"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blCellSpacing w:w="0" w:type="dxa"/>
          <w:jc w:val="center"/>
        </w:trPr>
        <w:tc>
          <w:tcPr>
            <w:tcW w:w="8775" w:type="dxa"/>
            <w:gridSpan w:val="4"/>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行政处罚</w:t>
            </w:r>
          </w:p>
        </w:tc>
        <w:tc>
          <w:tcPr>
            <w:tcW w:w="6345"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行政强制</w:t>
            </w:r>
          </w:p>
        </w:tc>
        <w:tc>
          <w:tcPr>
            <w:tcW w:w="6345"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blCellSpacing w:w="0" w:type="dxa"/>
          <w:jc w:val="center"/>
        </w:trPr>
        <w:tc>
          <w:tcPr>
            <w:tcW w:w="8775" w:type="dxa"/>
            <w:gridSpan w:val="4"/>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本年收费金额（单位：万元）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行政事业性收费</w:t>
            </w:r>
          </w:p>
        </w:tc>
        <w:tc>
          <w:tcPr>
            <w:tcW w:w="6345"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val="en-US" w:eastAsia="zh-CN" w:bidi="ar"/>
              </w:rPr>
              <w:t>0</w:t>
            </w:r>
          </w:p>
        </w:tc>
      </w:tr>
    </w:tbl>
    <w:p>
      <w:pPr>
        <w:widowControl/>
        <w:snapToGrid w:val="0"/>
        <w:spacing w:line="620" w:lineRule="exact"/>
        <w:ind w:firstLine="480"/>
        <w:jc w:val="left"/>
        <w:rPr>
          <w:rFonts w:hint="eastAsia" w:ascii="仿宋" w:hAnsi="仿宋" w:eastAsia="仿宋" w:cs="仿宋"/>
          <w:color w:val="333333"/>
          <w:kern w:val="0"/>
          <w:sz w:val="31"/>
          <w:szCs w:val="31"/>
          <w:lang w:eastAsia="zh-CN"/>
        </w:rPr>
      </w:pPr>
    </w:p>
    <w:p>
      <w:pPr>
        <w:widowControl/>
        <w:snapToGrid w:val="0"/>
        <w:spacing w:line="620" w:lineRule="exact"/>
        <w:ind w:firstLine="480"/>
        <w:jc w:val="left"/>
        <w:rPr>
          <w:rFonts w:hint="eastAsia" w:ascii="仿宋" w:hAnsi="仿宋" w:eastAsia="仿宋" w:cs="仿宋"/>
          <w:color w:val="333333"/>
          <w:kern w:val="0"/>
          <w:sz w:val="31"/>
          <w:szCs w:val="31"/>
          <w:lang w:eastAsia="zh-CN"/>
        </w:rPr>
      </w:pPr>
      <w:r>
        <w:rPr>
          <w:rFonts w:hint="eastAsia" w:ascii="仿宋" w:hAnsi="仿宋" w:eastAsia="仿宋" w:cs="仿宋"/>
          <w:color w:val="333333"/>
          <w:kern w:val="0"/>
          <w:sz w:val="31"/>
          <w:szCs w:val="31"/>
          <w:lang w:eastAsia="zh-CN"/>
        </w:rPr>
        <w:t>（三）行政机关收到和处理政府信息公开申请情况</w:t>
      </w:r>
    </w:p>
    <w:p>
      <w:pPr>
        <w:widowControl/>
        <w:spacing w:line="340" w:lineRule="exact"/>
        <w:jc w:val="center"/>
        <w:rPr>
          <w:rFonts w:hint="eastAsia" w:ascii="仿宋_GB2312" w:hAnsi="宋体" w:eastAsia="仿宋_GB2312" w:cs="宋体"/>
          <w:bCs/>
          <w:szCs w:val="21"/>
          <w:lang w:eastAsia="zh-CN" w:bidi="ar"/>
        </w:rPr>
      </w:pPr>
    </w:p>
    <w:tbl>
      <w:tblPr>
        <w:tblStyle w:val="3"/>
        <w:tblW w:w="907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20"/>
        <w:gridCol w:w="945"/>
        <w:gridCol w:w="1986"/>
        <w:gridCol w:w="785"/>
        <w:gridCol w:w="738"/>
        <w:gridCol w:w="738"/>
        <w:gridCol w:w="794"/>
        <w:gridCol w:w="947"/>
        <w:gridCol w:w="711"/>
        <w:gridCol w:w="71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651"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（本列数据的勾稽关系为：第一项加第二项之和，等于第三项加第四项之和）</w:t>
            </w:r>
          </w:p>
        </w:tc>
        <w:tc>
          <w:tcPr>
            <w:tcW w:w="5424"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651"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78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自然人</w:t>
            </w:r>
          </w:p>
        </w:tc>
        <w:tc>
          <w:tcPr>
            <w:tcW w:w="3928"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法人或其他组织</w:t>
            </w:r>
          </w:p>
        </w:tc>
        <w:tc>
          <w:tcPr>
            <w:tcW w:w="711"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651"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7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商业企业</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科研机构</w:t>
            </w:r>
          </w:p>
        </w:tc>
        <w:tc>
          <w:tcPr>
            <w:tcW w:w="79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社会公益组织</w:t>
            </w:r>
          </w:p>
        </w:tc>
        <w:tc>
          <w:tcPr>
            <w:tcW w:w="94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法律服务机构</w:t>
            </w:r>
          </w:p>
        </w:tc>
        <w:tc>
          <w:tcPr>
            <w:tcW w:w="71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其他</w:t>
            </w:r>
          </w:p>
        </w:tc>
        <w:tc>
          <w:tcPr>
            <w:tcW w:w="711"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651"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一、本年新收政府信息公开申请数量</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1</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9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651"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二、上年结转政府信息公开申请数量</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9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2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三、本年度办理结果</w:t>
            </w:r>
          </w:p>
        </w:tc>
        <w:tc>
          <w:tcPr>
            <w:tcW w:w="2931"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（一）予以公开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1</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9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71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2931"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（二）部分公开（区分处理的，只计这一情形，不计其他情形）</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9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94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（三）不予公开</w:t>
            </w:r>
          </w:p>
        </w:tc>
        <w:tc>
          <w:tcPr>
            <w:tcW w:w="19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1.属于国家秘密</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9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1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9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19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2.其他法律行政法规禁止公开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9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9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19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3.危及“三安全一稳定”</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9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9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19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4.保护第三方合法权益</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9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9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19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5.属于三类内部事务信息</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9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9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19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6.属于四类过程性信息</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9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9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19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7.属于行政执法案卷</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9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9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19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8.属于行政查询事项</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9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94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（四）无法提供</w:t>
            </w:r>
          </w:p>
        </w:tc>
        <w:tc>
          <w:tcPr>
            <w:tcW w:w="19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1.本机关不掌握相关政府信息</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9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9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19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2.没有现成信息需要另行制作</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9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9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19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3.补正后申请内容仍不明确</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9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94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（五）不予处理</w:t>
            </w:r>
          </w:p>
        </w:tc>
        <w:tc>
          <w:tcPr>
            <w:tcW w:w="19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1.信访举报投诉类申请</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9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9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19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2.重复申请</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9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9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19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3.要求提供公开出版物</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9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9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19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4.无正当理由大量反复申请</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9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9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19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5.要求行政机关确认或重新出具已获取信息</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9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2931"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（六）其他处理</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9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2931"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（七）总计</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9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651"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四、结转下年度继续办理</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94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7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0 </w:t>
            </w:r>
          </w:p>
        </w:tc>
      </w:tr>
    </w:tbl>
    <w:p>
      <w:pPr>
        <w:widowControl/>
        <w:snapToGrid w:val="0"/>
        <w:spacing w:line="620" w:lineRule="exact"/>
        <w:ind w:firstLine="480"/>
        <w:jc w:val="left"/>
        <w:rPr>
          <w:rFonts w:hint="eastAsia" w:ascii="仿宋" w:hAnsi="仿宋" w:eastAsia="仿宋" w:cs="仿宋"/>
          <w:color w:val="333333"/>
          <w:kern w:val="0"/>
          <w:sz w:val="31"/>
          <w:szCs w:val="31"/>
          <w:lang w:eastAsia="zh-CN"/>
        </w:rPr>
      </w:pPr>
      <w:r>
        <w:rPr>
          <w:rFonts w:hint="eastAsia" w:ascii="仿宋" w:hAnsi="仿宋" w:eastAsia="仿宋" w:cs="仿宋"/>
          <w:color w:val="333333"/>
          <w:kern w:val="0"/>
          <w:sz w:val="31"/>
          <w:szCs w:val="31"/>
          <w:lang w:eastAsia="zh-CN"/>
        </w:rPr>
        <w:t>（四）因政府信息公开工作被申请行政复议、提起行政诉讼情况</w:t>
      </w:r>
    </w:p>
    <w:p>
      <w:pPr>
        <w:widowControl/>
        <w:snapToGrid w:val="0"/>
        <w:spacing w:line="620" w:lineRule="exact"/>
        <w:ind w:firstLine="480"/>
        <w:jc w:val="left"/>
        <w:rPr>
          <w:rFonts w:hint="eastAsia" w:ascii="仿宋" w:hAnsi="仿宋" w:eastAsia="仿宋" w:cs="仿宋"/>
          <w:color w:val="333333"/>
          <w:kern w:val="0"/>
          <w:sz w:val="31"/>
          <w:szCs w:val="31"/>
          <w:lang w:eastAsia="zh-CN"/>
        </w:rPr>
      </w:pPr>
    </w:p>
    <w:tbl>
      <w:tblPr>
        <w:tblStyle w:val="3"/>
        <w:tblW w:w="907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结果维持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尚未审结</w:t>
            </w:r>
          </w:p>
        </w:tc>
        <w:tc>
          <w:tcPr>
            <w:tcW w:w="66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总计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66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40" w:lineRule="exact"/>
              <w:jc w:val="center"/>
              <w:rPr>
                <w:rFonts w:hint="eastAsia" w:ascii="仿宋_GB2312" w:hAnsi="宋体" w:eastAsia="仿宋_GB2312" w:cs="宋体"/>
                <w:bCs/>
                <w:szCs w:val="21"/>
                <w:lang w:eastAsia="zh-CN" w:bidi="ar"/>
              </w:rPr>
            </w:pPr>
            <w:r>
              <w:rPr>
                <w:rFonts w:hint="eastAsia" w:ascii="仿宋_GB2312" w:hAnsi="宋体" w:eastAsia="仿宋_GB2312" w:cs="宋体"/>
                <w:bCs/>
                <w:szCs w:val="21"/>
                <w:lang w:eastAsia="zh-CN" w:bidi="ar"/>
              </w:rPr>
              <w:t>0</w:t>
            </w:r>
          </w:p>
        </w:tc>
      </w:tr>
    </w:tbl>
    <w:p>
      <w:pPr>
        <w:widowControl/>
        <w:snapToGrid w:val="0"/>
        <w:spacing w:line="620" w:lineRule="exact"/>
        <w:ind w:firstLine="480"/>
        <w:jc w:val="left"/>
        <w:rPr>
          <w:rFonts w:hint="eastAsia" w:ascii="仿宋" w:hAnsi="仿宋" w:eastAsia="仿宋" w:cs="仿宋"/>
          <w:color w:val="333333"/>
          <w:kern w:val="0"/>
          <w:sz w:val="31"/>
          <w:szCs w:val="31"/>
          <w:lang w:eastAsia="zh-CN"/>
        </w:rPr>
      </w:pPr>
      <w:r>
        <w:rPr>
          <w:rFonts w:hint="eastAsia" w:ascii="仿宋" w:hAnsi="仿宋" w:eastAsia="仿宋" w:cs="仿宋"/>
          <w:color w:val="333333"/>
          <w:kern w:val="0"/>
          <w:sz w:val="31"/>
          <w:szCs w:val="31"/>
          <w:lang w:eastAsia="zh-CN"/>
        </w:rPr>
        <w:t>（五）政府信息公开工作存在的主要问题及改进情况</w:t>
      </w:r>
    </w:p>
    <w:p>
      <w:pPr>
        <w:widowControl/>
        <w:snapToGrid w:val="0"/>
        <w:spacing w:line="620" w:lineRule="exact"/>
        <w:ind w:firstLine="480"/>
        <w:jc w:val="left"/>
        <w:rPr>
          <w:rFonts w:hint="eastAsia" w:ascii="仿宋" w:hAnsi="仿宋" w:eastAsia="仿宋" w:cs="仿宋"/>
          <w:color w:val="333333"/>
          <w:kern w:val="0"/>
          <w:sz w:val="31"/>
          <w:szCs w:val="31"/>
          <w:lang w:eastAsia="zh-CN"/>
        </w:rPr>
      </w:pPr>
      <w:r>
        <w:rPr>
          <w:rFonts w:hint="eastAsia" w:ascii="仿宋" w:hAnsi="仿宋" w:eastAsia="仿宋" w:cs="仿宋"/>
          <w:color w:val="333333"/>
          <w:kern w:val="0"/>
          <w:sz w:val="31"/>
          <w:szCs w:val="31"/>
          <w:lang w:val="en-US" w:eastAsia="zh-CN"/>
        </w:rPr>
        <w:t>2020年度</w:t>
      </w:r>
      <w:r>
        <w:rPr>
          <w:rFonts w:hint="eastAsia" w:ascii="仿宋" w:hAnsi="仿宋" w:eastAsia="仿宋" w:cs="仿宋"/>
          <w:color w:val="333333"/>
          <w:kern w:val="0"/>
          <w:sz w:val="31"/>
          <w:szCs w:val="31"/>
          <w:lang w:eastAsia="zh-CN"/>
        </w:rPr>
        <w:t>汶上县统计局政务信息公开工作不足之处，主要表现在：一是政府信息公开内容还需进一步完善和规范，二是政府信息公开的及时性还需进一步提高。针对这些问题，</w:t>
      </w:r>
      <w:r>
        <w:rPr>
          <w:rFonts w:hint="eastAsia" w:ascii="仿宋" w:hAnsi="仿宋" w:eastAsia="仿宋" w:cs="仿宋"/>
          <w:color w:val="333333"/>
          <w:kern w:val="0"/>
          <w:sz w:val="31"/>
          <w:szCs w:val="31"/>
          <w:lang w:val="en-US" w:eastAsia="zh-CN"/>
        </w:rPr>
        <w:t>我们</w:t>
      </w:r>
      <w:r>
        <w:rPr>
          <w:rFonts w:hint="eastAsia" w:ascii="仿宋" w:hAnsi="仿宋" w:eastAsia="仿宋" w:cs="仿宋"/>
          <w:color w:val="333333"/>
          <w:kern w:val="0"/>
          <w:sz w:val="31"/>
          <w:szCs w:val="31"/>
          <w:lang w:eastAsia="zh-CN"/>
        </w:rPr>
        <w:t>一是进一步丰富统计数据解读的表现形式，图文并茂，增强可读性、生动性。二是进一步完善重大决策公开和办公会议公开，健全信息采集、审核、发布、更新制度，深入推进决策、执行、管理、服务、结果五公开。三是严守政务公开纪律，正确把握和处理公开与保密之间的关系。加强学习，提高认识，认真研究，在严格遵守保密规定的同时，确保应当公开的政府信息及时公开，为确保政府信息公开工作制度化、规范化发展，深入、持续、高效地开展政府信息公开工作提供统计保障。</w:t>
      </w:r>
    </w:p>
    <w:p>
      <w:pPr>
        <w:widowControl/>
        <w:snapToGrid w:val="0"/>
        <w:spacing w:line="620" w:lineRule="exact"/>
        <w:ind w:firstLine="480"/>
        <w:jc w:val="left"/>
        <w:rPr>
          <w:rFonts w:hint="eastAsia" w:ascii="仿宋" w:hAnsi="仿宋" w:eastAsia="仿宋" w:cs="仿宋"/>
          <w:color w:val="333333"/>
          <w:kern w:val="0"/>
          <w:sz w:val="31"/>
          <w:szCs w:val="31"/>
          <w:lang w:eastAsia="zh-CN"/>
        </w:rPr>
      </w:pPr>
      <w:r>
        <w:rPr>
          <w:rFonts w:hint="eastAsia" w:ascii="仿宋" w:hAnsi="仿宋" w:eastAsia="仿宋" w:cs="仿宋"/>
          <w:color w:val="333333"/>
          <w:kern w:val="0"/>
          <w:sz w:val="31"/>
          <w:szCs w:val="31"/>
          <w:lang w:val="en-US" w:eastAsia="zh-CN"/>
        </w:rPr>
        <w:t>2021年度汶上县统计局</w:t>
      </w:r>
      <w:r>
        <w:rPr>
          <w:rFonts w:hint="eastAsia" w:ascii="仿宋" w:hAnsi="仿宋" w:eastAsia="仿宋" w:cs="仿宋"/>
          <w:color w:val="333333"/>
          <w:kern w:val="0"/>
          <w:sz w:val="31"/>
          <w:szCs w:val="31"/>
          <w:lang w:eastAsia="zh-CN"/>
        </w:rPr>
        <w:t>存在</w:t>
      </w:r>
      <w:r>
        <w:rPr>
          <w:rFonts w:hint="eastAsia" w:ascii="仿宋" w:hAnsi="仿宋" w:eastAsia="仿宋" w:cs="仿宋"/>
          <w:color w:val="333333"/>
          <w:kern w:val="0"/>
          <w:sz w:val="31"/>
          <w:szCs w:val="31"/>
          <w:lang w:val="en-US" w:eastAsia="zh-CN"/>
        </w:rPr>
        <w:t>的</w:t>
      </w:r>
      <w:r>
        <w:rPr>
          <w:rFonts w:hint="eastAsia" w:ascii="仿宋" w:hAnsi="仿宋" w:eastAsia="仿宋" w:cs="仿宋"/>
          <w:color w:val="333333"/>
          <w:kern w:val="0"/>
          <w:sz w:val="31"/>
          <w:szCs w:val="31"/>
          <w:lang w:eastAsia="zh-CN"/>
        </w:rPr>
        <w:t>问题</w:t>
      </w:r>
      <w:r>
        <w:rPr>
          <w:rFonts w:hint="eastAsia" w:ascii="仿宋" w:hAnsi="仿宋" w:eastAsia="仿宋" w:cs="仿宋"/>
          <w:color w:val="333333"/>
          <w:kern w:val="0"/>
          <w:sz w:val="31"/>
          <w:szCs w:val="31"/>
          <w:lang w:val="en-US" w:eastAsia="zh-CN"/>
        </w:rPr>
        <w:t>：</w:t>
      </w:r>
      <w:r>
        <w:rPr>
          <w:rFonts w:hint="eastAsia" w:ascii="仿宋" w:hAnsi="仿宋" w:eastAsia="仿宋" w:cs="仿宋"/>
          <w:color w:val="333333"/>
          <w:kern w:val="0"/>
          <w:sz w:val="31"/>
          <w:szCs w:val="31"/>
          <w:lang w:eastAsia="zh-CN"/>
        </w:rPr>
        <w:t>在重点领域政府信息公开深度不够，公开时效性、深度、质量等有待提高；政策解读形式还需要多元化，将政策解读生动、明了，更加贴近群众生活；公开队伍整体的专业化、理论化水平有待提升，政策的把握能力有待加强。</w:t>
      </w:r>
    </w:p>
    <w:p>
      <w:pPr>
        <w:widowControl/>
        <w:snapToGrid w:val="0"/>
        <w:spacing w:line="620" w:lineRule="exact"/>
        <w:ind w:firstLine="480"/>
        <w:jc w:val="left"/>
        <w:rPr>
          <w:rFonts w:hint="eastAsia" w:ascii="仿宋" w:hAnsi="仿宋" w:eastAsia="仿宋" w:cs="仿宋"/>
          <w:color w:val="333333"/>
          <w:kern w:val="0"/>
          <w:sz w:val="31"/>
          <w:szCs w:val="31"/>
          <w:lang w:eastAsia="zh-CN"/>
        </w:rPr>
      </w:pPr>
      <w:r>
        <w:rPr>
          <w:rFonts w:hint="eastAsia" w:ascii="仿宋" w:hAnsi="仿宋" w:eastAsia="仿宋" w:cs="仿宋"/>
          <w:color w:val="333333"/>
          <w:kern w:val="0"/>
          <w:sz w:val="31"/>
          <w:szCs w:val="31"/>
          <w:lang w:val="en-US" w:eastAsia="zh-CN"/>
        </w:rPr>
        <w:t>下步举措</w:t>
      </w:r>
      <w:r>
        <w:rPr>
          <w:rFonts w:hint="eastAsia" w:ascii="仿宋" w:hAnsi="仿宋" w:eastAsia="仿宋" w:cs="仿宋"/>
          <w:color w:val="333333"/>
          <w:kern w:val="0"/>
          <w:sz w:val="31"/>
          <w:szCs w:val="31"/>
          <w:lang w:eastAsia="zh-CN"/>
        </w:rPr>
        <w:t>：在以后的工作中，我局坚持贯彻落实上级有关文件精神，认真做好政府信息公开工作，一是进一步健全完善公开制度体系，拓展政府信息公开的内容，提高信息发布的及时性、准确性、规范性；二是进一步加强宣传培训，增强工作人员依法做好政府信息公开工作的能力；三是进一步加强工作研究，不断提高政府信息公开的水平，更好地服务广大群众。</w:t>
      </w:r>
    </w:p>
    <w:p>
      <w:pPr>
        <w:widowControl/>
        <w:snapToGrid w:val="0"/>
        <w:spacing w:line="620" w:lineRule="exact"/>
        <w:ind w:firstLine="480"/>
        <w:jc w:val="left"/>
        <w:rPr>
          <w:rFonts w:hint="eastAsia" w:ascii="仿宋" w:hAnsi="仿宋" w:eastAsia="仿宋" w:cs="仿宋"/>
          <w:color w:val="333333"/>
          <w:kern w:val="0"/>
          <w:sz w:val="31"/>
          <w:szCs w:val="31"/>
          <w:lang w:eastAsia="zh-CN"/>
        </w:rPr>
      </w:pPr>
      <w:r>
        <w:rPr>
          <w:rFonts w:hint="eastAsia" w:ascii="仿宋" w:hAnsi="仿宋" w:eastAsia="仿宋" w:cs="仿宋"/>
          <w:color w:val="333333"/>
          <w:kern w:val="0"/>
          <w:sz w:val="31"/>
          <w:szCs w:val="31"/>
          <w:lang w:eastAsia="zh-CN"/>
        </w:rPr>
        <w:t>其他需要报告的事项</w:t>
      </w:r>
    </w:p>
    <w:p>
      <w:pPr>
        <w:widowControl/>
        <w:snapToGrid w:val="0"/>
        <w:spacing w:line="620" w:lineRule="exact"/>
        <w:ind w:firstLine="480"/>
        <w:jc w:val="left"/>
        <w:rPr>
          <w:rFonts w:hint="eastAsia" w:ascii="仿宋" w:hAnsi="仿宋" w:eastAsia="仿宋" w:cs="仿宋"/>
          <w:color w:val="333333"/>
          <w:kern w:val="0"/>
          <w:sz w:val="31"/>
          <w:szCs w:val="31"/>
          <w:lang w:eastAsia="zh-CN"/>
        </w:rPr>
      </w:pPr>
      <w:r>
        <w:rPr>
          <w:rFonts w:hint="eastAsia" w:ascii="仿宋" w:hAnsi="仿宋" w:eastAsia="仿宋" w:cs="仿宋"/>
          <w:color w:val="333333"/>
          <w:kern w:val="0"/>
          <w:sz w:val="31"/>
          <w:szCs w:val="31"/>
          <w:lang w:val="en-US" w:eastAsia="zh-CN"/>
        </w:rPr>
        <w:t>1.依据《政府信息公开信息处理费管理办法》收取信息处理费的情况。为方便群众，我局政府信息公开实行不收费服务。</w:t>
      </w:r>
    </w:p>
    <w:p>
      <w:pPr>
        <w:widowControl/>
        <w:snapToGrid w:val="0"/>
        <w:spacing w:line="620" w:lineRule="exact"/>
        <w:ind w:firstLine="480"/>
        <w:jc w:val="left"/>
        <w:rPr>
          <w:rFonts w:hint="eastAsia" w:ascii="仿宋" w:hAnsi="仿宋" w:eastAsia="仿宋" w:cs="仿宋"/>
          <w:color w:val="333333"/>
          <w:kern w:val="0"/>
          <w:sz w:val="31"/>
          <w:szCs w:val="31"/>
          <w:lang w:eastAsia="zh-CN"/>
        </w:rPr>
      </w:pPr>
      <w:r>
        <w:rPr>
          <w:rFonts w:hint="eastAsia" w:ascii="仿宋" w:hAnsi="仿宋" w:eastAsia="仿宋" w:cs="仿宋"/>
          <w:color w:val="333333"/>
          <w:kern w:val="0"/>
          <w:sz w:val="31"/>
          <w:szCs w:val="31"/>
          <w:lang w:val="en-US" w:eastAsia="zh-CN"/>
        </w:rPr>
        <w:t>2.</w:t>
      </w:r>
      <w:r>
        <w:rPr>
          <w:rFonts w:hint="eastAsia" w:ascii="仿宋" w:hAnsi="仿宋" w:eastAsia="仿宋" w:cs="仿宋"/>
          <w:color w:val="333333"/>
          <w:kern w:val="0"/>
          <w:sz w:val="31"/>
          <w:szCs w:val="31"/>
          <w:lang w:eastAsia="zh-CN"/>
        </w:rPr>
        <w:t>2021年，汶上县</w:t>
      </w:r>
      <w:r>
        <w:rPr>
          <w:rFonts w:hint="eastAsia" w:ascii="仿宋" w:hAnsi="仿宋" w:eastAsia="仿宋" w:cs="仿宋"/>
          <w:color w:val="333333"/>
          <w:kern w:val="0"/>
          <w:sz w:val="31"/>
          <w:szCs w:val="31"/>
          <w:lang w:val="en-US" w:eastAsia="zh-CN"/>
        </w:rPr>
        <w:t>统计</w:t>
      </w:r>
      <w:r>
        <w:rPr>
          <w:rFonts w:hint="eastAsia" w:ascii="仿宋" w:hAnsi="仿宋" w:eastAsia="仿宋" w:cs="仿宋"/>
          <w:color w:val="333333"/>
          <w:kern w:val="0"/>
          <w:sz w:val="31"/>
          <w:szCs w:val="31"/>
          <w:lang w:eastAsia="zh-CN"/>
        </w:rPr>
        <w:t>局认真落实上级关于政务公开工作的各项要求。根据汶上县人民政府办公室《关于印发2021年汶上县政务公开工作任务分解表的通知》（汶政办字〔2021〕14号）要求，我局认真组织研究，对照《分解表》任务分工，进一步细化任务目标，制定我局2021年政务公开工作要点，落实责任分工，明确承办科室。从深化重点领域政府信息公开、加强和改进政策发布解读回应、强化公众参与推动高水平决策公开、全面提升基层政务公开标准化规范化水平、严格政务公开工作保障和落实等方面明确21项政务公开重点工作，并在政务公开工作推进专栏进行公开，有效指导监督我局全年政务公开工作</w:t>
      </w:r>
      <w:r>
        <w:rPr>
          <w:rFonts w:hint="default" w:ascii="仿宋" w:hAnsi="仿宋" w:eastAsia="仿宋" w:cs="仿宋"/>
          <w:color w:val="333333"/>
          <w:kern w:val="0"/>
          <w:sz w:val="31"/>
          <w:szCs w:val="31"/>
          <w:lang w:eastAsia="zh-CN"/>
        </w:rPr>
        <w:t>，及时、全面、主动公开政策信息，做好重要政策的宣传、解读工作，积极主动做好政府信息公开工作，严格依法依规做好政府信息依申请公开，及时准确答复，全面完成了上级交办的各项政府信息公开任务。</w:t>
      </w:r>
    </w:p>
    <w:p>
      <w:pPr>
        <w:widowControl/>
        <w:snapToGrid w:val="0"/>
        <w:spacing w:line="620" w:lineRule="exact"/>
        <w:ind w:firstLine="480"/>
        <w:jc w:val="left"/>
        <w:rPr>
          <w:rFonts w:hint="eastAsia" w:ascii="仿宋" w:hAnsi="仿宋" w:eastAsia="仿宋" w:cs="仿宋"/>
          <w:color w:val="333333"/>
          <w:kern w:val="0"/>
          <w:sz w:val="31"/>
          <w:szCs w:val="31"/>
          <w:lang w:val="en-US" w:eastAsia="zh-CN"/>
        </w:rPr>
      </w:pPr>
      <w:r>
        <w:rPr>
          <w:rFonts w:hint="eastAsia" w:ascii="仿宋" w:hAnsi="仿宋" w:eastAsia="仿宋" w:cs="仿宋"/>
          <w:color w:val="333333"/>
          <w:kern w:val="0"/>
          <w:sz w:val="31"/>
          <w:szCs w:val="31"/>
          <w:lang w:val="en-US" w:eastAsia="zh-CN"/>
        </w:rPr>
        <w:t>3.本年度政务公开工作创新情况。我局强化平台建设，增强公开能力。不断探索拓展政务公开渠道，充分发挥县政府门户网站公开主平台作用，借力新媒体“汶上县统计局”微信公众号，不断提升信息发布、在线服务和互动交流水平。县政府网页与“汶上县统计局”微信公众号做到定期更新。线上重点抓，线下不放松，双方面赋能，多渠道推进。2021年9月20日，汶上县统计局成功举办第十二届中国统计开放日活动，工作人员及群众300余人参加此次活动，打通联系服务群众“最后一公里”，做到根植群众、服务人民。</w:t>
      </w:r>
    </w:p>
    <w:p>
      <w:pPr>
        <w:widowControl/>
        <w:snapToGrid w:val="0"/>
        <w:spacing w:line="620" w:lineRule="exact"/>
        <w:ind w:firstLine="480"/>
        <w:jc w:val="left"/>
        <w:rPr>
          <w:rFonts w:hint="eastAsia" w:ascii="宋体" w:hAnsi="宋体" w:eastAsia="宋体" w:cs="宋体"/>
          <w:color w:val="333333"/>
          <w:sz w:val="24"/>
          <w:szCs w:val="24"/>
        </w:rPr>
      </w:pPr>
      <w:r>
        <w:rPr>
          <w:rFonts w:hint="eastAsia" w:ascii="仿宋" w:hAnsi="仿宋" w:eastAsia="仿宋" w:cs="仿宋"/>
          <w:color w:val="333333"/>
          <w:kern w:val="0"/>
          <w:sz w:val="31"/>
          <w:szCs w:val="31"/>
          <w:lang w:eastAsia="zh-CN"/>
        </w:rPr>
        <w:t>及时编印统计资料。全年刊印并发放《</w:t>
      </w:r>
      <w:r>
        <w:rPr>
          <w:rFonts w:hint="eastAsia" w:ascii="仿宋" w:hAnsi="仿宋" w:eastAsia="仿宋" w:cs="仿宋"/>
          <w:color w:val="333333"/>
          <w:kern w:val="0"/>
          <w:sz w:val="31"/>
          <w:szCs w:val="31"/>
          <w:lang w:val="en-US" w:eastAsia="zh-CN"/>
        </w:rPr>
        <w:t>汶上</w:t>
      </w:r>
      <w:r>
        <w:rPr>
          <w:rFonts w:hint="eastAsia" w:ascii="仿宋" w:hAnsi="仿宋" w:eastAsia="仿宋" w:cs="仿宋"/>
          <w:color w:val="333333"/>
          <w:kern w:val="0"/>
          <w:sz w:val="31"/>
          <w:szCs w:val="31"/>
          <w:lang w:eastAsia="zh-CN"/>
        </w:rPr>
        <w:t>经济社会监测月报》</w:t>
      </w:r>
      <w:r>
        <w:rPr>
          <w:rFonts w:hint="eastAsia" w:ascii="仿宋" w:hAnsi="仿宋" w:eastAsia="仿宋" w:cs="仿宋"/>
          <w:color w:val="333333"/>
          <w:kern w:val="0"/>
          <w:sz w:val="31"/>
          <w:szCs w:val="31"/>
          <w:lang w:val="en-US" w:eastAsia="zh-CN"/>
        </w:rPr>
        <w:t>1650</w:t>
      </w:r>
      <w:r>
        <w:rPr>
          <w:rFonts w:hint="eastAsia" w:ascii="仿宋" w:hAnsi="仿宋" w:eastAsia="仿宋" w:cs="仿宋"/>
          <w:color w:val="333333"/>
          <w:kern w:val="0"/>
          <w:sz w:val="31"/>
          <w:szCs w:val="31"/>
          <w:lang w:eastAsia="zh-CN"/>
        </w:rPr>
        <w:t>份，《</w:t>
      </w:r>
      <w:r>
        <w:rPr>
          <w:rFonts w:hint="eastAsia" w:ascii="仿宋" w:hAnsi="仿宋" w:eastAsia="仿宋" w:cs="仿宋"/>
          <w:color w:val="333333"/>
          <w:kern w:val="0"/>
          <w:sz w:val="31"/>
          <w:szCs w:val="31"/>
          <w:lang w:val="en-US" w:eastAsia="zh-CN"/>
        </w:rPr>
        <w:t>统计专报》1650份，</w:t>
      </w:r>
      <w:r>
        <w:rPr>
          <w:rFonts w:hint="eastAsia" w:ascii="仿宋" w:hAnsi="仿宋" w:eastAsia="仿宋" w:cs="仿宋"/>
          <w:color w:val="333333"/>
          <w:kern w:val="0"/>
          <w:sz w:val="31"/>
          <w:szCs w:val="31"/>
          <w:lang w:eastAsia="zh-CN"/>
        </w:rPr>
        <w:t>《</w:t>
      </w:r>
      <w:r>
        <w:rPr>
          <w:rFonts w:hint="eastAsia" w:ascii="仿宋" w:hAnsi="仿宋" w:eastAsia="仿宋" w:cs="仿宋"/>
          <w:color w:val="333333"/>
          <w:kern w:val="0"/>
          <w:sz w:val="31"/>
          <w:szCs w:val="31"/>
          <w:lang w:val="en-US" w:eastAsia="zh-CN"/>
        </w:rPr>
        <w:t>汶上统计</w:t>
      </w:r>
      <w:r>
        <w:rPr>
          <w:rFonts w:hint="eastAsia" w:ascii="仿宋" w:hAnsi="仿宋" w:eastAsia="仿宋" w:cs="仿宋"/>
          <w:color w:val="333333"/>
          <w:kern w:val="0"/>
          <w:sz w:val="31"/>
          <w:szCs w:val="31"/>
          <w:lang w:eastAsia="zh-CN"/>
        </w:rPr>
        <w:t>》</w:t>
      </w:r>
      <w:r>
        <w:rPr>
          <w:rFonts w:hint="eastAsia" w:ascii="仿宋" w:hAnsi="仿宋" w:eastAsia="仿宋" w:cs="仿宋"/>
          <w:color w:val="333333"/>
          <w:kern w:val="0"/>
          <w:sz w:val="31"/>
          <w:szCs w:val="31"/>
          <w:lang w:val="en-US" w:eastAsia="zh-CN"/>
        </w:rPr>
        <w:t>2000</w:t>
      </w:r>
      <w:r>
        <w:rPr>
          <w:rFonts w:hint="eastAsia" w:ascii="仿宋" w:hAnsi="仿宋" w:eastAsia="仿宋" w:cs="仿宋"/>
          <w:color w:val="333333"/>
          <w:kern w:val="0"/>
          <w:sz w:val="31"/>
          <w:szCs w:val="31"/>
          <w:lang w:eastAsia="zh-CN"/>
        </w:rPr>
        <w:t>份、《</w:t>
      </w:r>
      <w:r>
        <w:rPr>
          <w:rFonts w:hint="eastAsia" w:ascii="仿宋" w:hAnsi="仿宋" w:eastAsia="仿宋" w:cs="仿宋"/>
          <w:color w:val="333333"/>
          <w:kern w:val="0"/>
          <w:sz w:val="31"/>
          <w:szCs w:val="31"/>
          <w:lang w:val="en-US" w:eastAsia="zh-CN"/>
        </w:rPr>
        <w:t>汶上</w:t>
      </w:r>
      <w:r>
        <w:rPr>
          <w:rFonts w:hint="eastAsia" w:ascii="仿宋" w:hAnsi="仿宋" w:eastAsia="仿宋" w:cs="仿宋"/>
          <w:color w:val="333333"/>
          <w:kern w:val="0"/>
          <w:sz w:val="31"/>
          <w:szCs w:val="31"/>
          <w:lang w:eastAsia="zh-CN"/>
        </w:rPr>
        <w:t>统计年鉴》</w:t>
      </w:r>
      <w:r>
        <w:rPr>
          <w:rFonts w:hint="eastAsia" w:ascii="仿宋" w:hAnsi="仿宋" w:eastAsia="仿宋" w:cs="仿宋"/>
          <w:color w:val="333333"/>
          <w:kern w:val="0"/>
          <w:sz w:val="31"/>
          <w:szCs w:val="31"/>
          <w:lang w:val="en-US" w:eastAsia="zh-CN"/>
        </w:rPr>
        <w:t>700</w:t>
      </w:r>
      <w:r>
        <w:rPr>
          <w:rFonts w:hint="eastAsia" w:ascii="仿宋" w:hAnsi="仿宋" w:eastAsia="仿宋" w:cs="仿宋"/>
          <w:color w:val="333333"/>
          <w:kern w:val="0"/>
          <w:sz w:val="31"/>
          <w:szCs w:val="31"/>
          <w:lang w:eastAsia="zh-CN"/>
        </w:rPr>
        <w:t>份。全年为各级领导及社会公众生产生活提供统计数据服务500余次</w:t>
      </w:r>
      <w:r>
        <w:rPr>
          <w:rFonts w:hint="eastAsia" w:ascii="宋体" w:hAnsi="宋体" w:eastAsia="宋体" w:cs="宋体"/>
          <w:color w:val="333333"/>
          <w:sz w:val="24"/>
          <w:szCs w:val="24"/>
        </w:rPr>
        <w:t>。</w:t>
      </w:r>
    </w:p>
    <w:p>
      <w:pPr>
        <w:pStyle w:val="2"/>
        <w:keepNext w:val="0"/>
        <w:keepLines w:val="0"/>
        <w:widowControl/>
        <w:numPr>
          <w:ilvl w:val="0"/>
          <w:numId w:val="0"/>
        </w:numPr>
        <w:suppressLineNumbers w:val="0"/>
        <w:wordWrap w:val="0"/>
        <w:spacing w:before="376" w:beforeAutospacing="0" w:after="0" w:afterAutospacing="0" w:line="315" w:lineRule="atLeast"/>
        <w:ind w:right="0" w:rightChars="0"/>
        <w:rPr>
          <w:rFonts w:hint="default"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 xml:space="preserve">     </w:t>
      </w:r>
      <w:r>
        <w:drawing>
          <wp:inline distT="0" distB="0" distL="114300" distR="114300">
            <wp:extent cx="5189855" cy="2895600"/>
            <wp:effectExtent l="4445" t="4445" r="6350"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keepNext w:val="0"/>
        <w:keepLines w:val="0"/>
        <w:widowControl/>
        <w:numPr>
          <w:ilvl w:val="0"/>
          <w:numId w:val="0"/>
        </w:numPr>
        <w:suppressLineNumbers w:val="0"/>
        <w:wordWrap w:val="0"/>
        <w:spacing w:before="376" w:beforeAutospacing="0" w:after="0" w:afterAutospacing="0" w:line="315" w:lineRule="atLeast"/>
        <w:ind w:left="901" w:leftChars="0" w:right="0" w:rightChars="0"/>
        <w:rPr>
          <w:rFonts w:hint="eastAsia" w:ascii="宋体" w:hAnsi="宋体" w:eastAsia="宋体" w:cs="宋体"/>
          <w:color w:val="333333"/>
          <w:sz w:val="24"/>
          <w:szCs w:val="24"/>
        </w:rPr>
      </w:pPr>
    </w:p>
    <w:p>
      <w:pPr>
        <w:pStyle w:val="2"/>
        <w:keepNext w:val="0"/>
        <w:keepLines w:val="0"/>
        <w:widowControl/>
        <w:numPr>
          <w:ilvl w:val="0"/>
          <w:numId w:val="0"/>
        </w:numPr>
        <w:suppressLineNumbers w:val="0"/>
        <w:wordWrap w:val="0"/>
        <w:spacing w:before="376" w:beforeAutospacing="0" w:after="0" w:afterAutospacing="0" w:line="315" w:lineRule="atLeast"/>
        <w:ind w:left="901" w:leftChars="0" w:right="0" w:rightChars="0"/>
        <w:rPr>
          <w:rFonts w:hint="default" w:ascii="宋体" w:hAnsi="宋体" w:eastAsia="宋体" w:cs="宋体"/>
          <w:color w:val="333333"/>
          <w:sz w:val="24"/>
          <w:szCs w:val="24"/>
          <w:lang w:val="en-US" w:eastAsia="zh-CN"/>
        </w:rPr>
      </w:pPr>
    </w:p>
    <w:p>
      <w:pPr>
        <w:pStyle w:val="2"/>
        <w:keepNext w:val="0"/>
        <w:keepLines w:val="0"/>
        <w:widowControl/>
        <w:suppressLineNumbers w:val="0"/>
        <w:wordWrap w:val="0"/>
        <w:spacing w:before="376" w:beforeAutospacing="0" w:after="0" w:afterAutospacing="0" w:line="315" w:lineRule="atLeast"/>
        <w:ind w:left="256" w:right="0" w:firstLine="645"/>
        <w:rPr>
          <w:rFonts w:hint="eastAsia" w:ascii="宋体" w:hAnsi="宋体" w:eastAsia="宋体" w:cs="宋体"/>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02C5E"/>
    <w:rsid w:val="05354337"/>
    <w:rsid w:val="0D8A5426"/>
    <w:rsid w:val="14B47139"/>
    <w:rsid w:val="16195740"/>
    <w:rsid w:val="1C710E3A"/>
    <w:rsid w:val="1C885A37"/>
    <w:rsid w:val="1F507303"/>
    <w:rsid w:val="22F20D13"/>
    <w:rsid w:val="251F57F8"/>
    <w:rsid w:val="26E001BF"/>
    <w:rsid w:val="288465CB"/>
    <w:rsid w:val="2A912A7C"/>
    <w:rsid w:val="2E4A007A"/>
    <w:rsid w:val="3282372D"/>
    <w:rsid w:val="38F16974"/>
    <w:rsid w:val="3A2014DB"/>
    <w:rsid w:val="3DFA115D"/>
    <w:rsid w:val="3F3C6C0E"/>
    <w:rsid w:val="3FA94894"/>
    <w:rsid w:val="43F86C1F"/>
    <w:rsid w:val="452B6A4E"/>
    <w:rsid w:val="4A774334"/>
    <w:rsid w:val="4F622895"/>
    <w:rsid w:val="51A552A6"/>
    <w:rsid w:val="5232625C"/>
    <w:rsid w:val="533774C1"/>
    <w:rsid w:val="53DC73E3"/>
    <w:rsid w:val="609B484B"/>
    <w:rsid w:val="67D9251E"/>
    <w:rsid w:val="72072E78"/>
    <w:rsid w:val="730F0E13"/>
    <w:rsid w:val="736422FA"/>
    <w:rsid w:val="7DB445C2"/>
    <w:rsid w:val="7ECC0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TJJ\Desktop\&#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汶上县统计局主动公开政府信息数量</a:t>
            </a:r>
          </a:p>
        </c:rich>
      </c:tx>
      <c:layout/>
      <c:overlay val="0"/>
      <c:spPr>
        <a:noFill/>
        <a:ln>
          <a:noFill/>
        </a:ln>
        <a:effectLst/>
      </c:spPr>
    </c:title>
    <c:autoTitleDeleted val="0"/>
    <c:plotArea>
      <c:layout/>
      <c:barChart>
        <c:barDir val="col"/>
        <c:grouping val="clustered"/>
        <c:varyColors val="0"/>
        <c:ser>
          <c:idx val="0"/>
          <c:order val="0"/>
          <c:tx>
            <c:strRef>
              <c:f>'[新建 XLSX 工作表.xlsx]Sheet1'!$B$1</c:f>
              <c:strCache>
                <c:ptCount val="1"/>
                <c:pt idx="0">
                  <c:v>2021年</c:v>
                </c:pt>
              </c:strCache>
            </c:strRef>
          </c:tx>
          <c:spPr>
            <a:solidFill>
              <a:schemeClr val="accent1"/>
            </a:solidFill>
            <a:ln>
              <a:noFill/>
            </a:ln>
            <a:effectLst/>
          </c:spPr>
          <c:invertIfNegative val="0"/>
          <c:dLbls>
            <c:delete val="1"/>
          </c:dLbls>
          <c:cat>
            <c:strRef>
              <c:f>'[新建 XLSX 工作表.xlsx]Sheet1'!$A$2:$A$4</c:f>
              <c:strCache>
                <c:ptCount val="3"/>
                <c:pt idx="0">
                  <c:v>主动公开本部门政务公开信息数量</c:v>
                </c:pt>
                <c:pt idx="1">
                  <c:v>全年通过微信公众号发布信息数量</c:v>
                </c:pt>
                <c:pt idx="2">
                  <c:v>主动公开规范性文件数</c:v>
                </c:pt>
              </c:strCache>
            </c:strRef>
          </c:cat>
          <c:val>
            <c:numRef>
              <c:f>'[新建 XLSX 工作表.xlsx]Sheet1'!$B$2:$B$4</c:f>
              <c:numCache>
                <c:formatCode>General</c:formatCode>
                <c:ptCount val="3"/>
                <c:pt idx="0">
                  <c:v>123</c:v>
                </c:pt>
                <c:pt idx="1">
                  <c:v>244</c:v>
                </c:pt>
                <c:pt idx="2">
                  <c:v>1</c:v>
                </c:pt>
              </c:numCache>
            </c:numRef>
          </c:val>
        </c:ser>
        <c:ser>
          <c:idx val="1"/>
          <c:order val="1"/>
          <c:tx>
            <c:strRef>
              <c:f>'[新建 XLSX 工作表.xlsx]Sheet1'!$C$1</c:f>
              <c:strCache>
                <c:ptCount val="1"/>
                <c:pt idx="0">
                  <c:v>2020年</c:v>
                </c:pt>
              </c:strCache>
            </c:strRef>
          </c:tx>
          <c:spPr>
            <a:solidFill>
              <a:schemeClr val="accent2"/>
            </a:solidFill>
            <a:ln>
              <a:noFill/>
            </a:ln>
            <a:effectLst/>
          </c:spPr>
          <c:invertIfNegative val="0"/>
          <c:dLbls>
            <c:delete val="1"/>
          </c:dLbls>
          <c:cat>
            <c:strRef>
              <c:f>'[新建 XLSX 工作表.xlsx]Sheet1'!$A$2:$A$4</c:f>
              <c:strCache>
                <c:ptCount val="3"/>
                <c:pt idx="0">
                  <c:v>主动公开本部门政务公开信息数量</c:v>
                </c:pt>
                <c:pt idx="1">
                  <c:v>全年通过微信公众号发布信息数量</c:v>
                </c:pt>
                <c:pt idx="2">
                  <c:v>主动公开规范性文件数</c:v>
                </c:pt>
              </c:strCache>
            </c:strRef>
          </c:cat>
          <c:val>
            <c:numRef>
              <c:f>'[新建 XLSX 工作表.xlsx]Sheet1'!$C$2:$C$4</c:f>
              <c:numCache>
                <c:formatCode>General</c:formatCode>
                <c:ptCount val="3"/>
                <c:pt idx="0">
                  <c:v>60</c:v>
                </c:pt>
                <c:pt idx="1">
                  <c:v>137</c:v>
                </c:pt>
                <c:pt idx="2">
                  <c:v>0</c:v>
                </c:pt>
              </c:numCache>
            </c:numRef>
          </c:val>
        </c:ser>
        <c:dLbls>
          <c:showLegendKey val="0"/>
          <c:showVal val="0"/>
          <c:showCatName val="0"/>
          <c:showSerName val="0"/>
          <c:showPercent val="0"/>
          <c:showBubbleSize val="0"/>
        </c:dLbls>
        <c:gapWidth val="219"/>
        <c:overlap val="-27"/>
        <c:axId val="675367573"/>
        <c:axId val="553689427"/>
      </c:barChart>
      <c:catAx>
        <c:axId val="67536757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3689427"/>
        <c:crosses val="autoZero"/>
        <c:auto val="1"/>
        <c:lblAlgn val="ctr"/>
        <c:lblOffset val="100"/>
        <c:noMultiLvlLbl val="0"/>
      </c:catAx>
      <c:valAx>
        <c:axId val="553689427"/>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53675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年度汶上县统计局</a:t>
            </a:r>
            <a:endParaRPr altLang="en-US"/>
          </a:p>
          <a:p>
            <a:pPr defTabSz="914400">
              <a:defRPr lang="zh-CN" sz="1400" b="0" i="0" u="none" strike="noStrike" kern="1200" spc="0" baseline="0">
                <a:solidFill>
                  <a:schemeClr val="tx1">
                    <a:lumMod val="65000"/>
                    <a:lumOff val="35000"/>
                  </a:schemeClr>
                </a:solidFill>
                <a:latin typeface="+mn-lt"/>
                <a:ea typeface="+mn-ea"/>
                <a:cs typeface="+mn-cs"/>
              </a:defRPr>
            </a:pPr>
            <a:r>
              <a:t>编印统计资料数量</a:t>
            </a:r>
          </a:p>
        </c:rich>
      </c:tx>
      <c:layout/>
      <c:overlay val="0"/>
      <c:spPr>
        <a:noFill/>
        <a:ln>
          <a:noFill/>
        </a:ln>
        <a:effectLst/>
      </c:spPr>
    </c:title>
    <c:autoTitleDeleted val="0"/>
    <c:plotArea>
      <c:layout/>
      <c:barChart>
        <c:barDir val="col"/>
        <c:grouping val="clustered"/>
        <c:varyColors val="0"/>
        <c:ser>
          <c:idx val="0"/>
          <c:order val="0"/>
          <c:tx>
            <c:strRef>
              <c:f>'[新建 XLS 工作表.xls]Sheet1'!$B$26</c:f>
              <c:strCache>
                <c:ptCount val="1"/>
                <c:pt idx="0">
                  <c:v>数量</c:v>
                </c:pt>
              </c:strCache>
            </c:strRef>
          </c:tx>
          <c:spPr>
            <a:solidFill>
              <a:schemeClr val="accent1"/>
            </a:solidFill>
            <a:ln>
              <a:noFill/>
            </a:ln>
            <a:effectLst/>
          </c:spPr>
          <c:invertIfNegative val="0"/>
          <c:dLbls>
            <c:delete val="1"/>
          </c:dLbls>
          <c:cat>
            <c:strRef>
              <c:f>'[新建 XLS 工作表.xls]Sheet1'!$A$27:$A$30</c:f>
              <c:strCache>
                <c:ptCount val="4"/>
                <c:pt idx="0">
                  <c:v>《汶上经济社会监测月报》</c:v>
                </c:pt>
                <c:pt idx="1">
                  <c:v>《汶上统计专报》</c:v>
                </c:pt>
                <c:pt idx="2">
                  <c:v>《汶上统计》</c:v>
                </c:pt>
                <c:pt idx="3">
                  <c:v>《汶上统计年鉴》</c:v>
                </c:pt>
              </c:strCache>
            </c:strRef>
          </c:cat>
          <c:val>
            <c:numRef>
              <c:f>'[新建 XLS 工作表.xls]Sheet1'!$B$27:$B$30</c:f>
              <c:numCache>
                <c:formatCode>General</c:formatCode>
                <c:ptCount val="4"/>
                <c:pt idx="0">
                  <c:v>1650</c:v>
                </c:pt>
                <c:pt idx="1">
                  <c:v>1650</c:v>
                </c:pt>
                <c:pt idx="2">
                  <c:v>2000</c:v>
                </c:pt>
                <c:pt idx="3">
                  <c:v>700</c:v>
                </c:pt>
              </c:numCache>
            </c:numRef>
          </c:val>
        </c:ser>
        <c:dLbls>
          <c:showLegendKey val="0"/>
          <c:showVal val="0"/>
          <c:showCatName val="0"/>
          <c:showSerName val="0"/>
          <c:showPercent val="0"/>
          <c:showBubbleSize val="0"/>
        </c:dLbls>
        <c:gapWidth val="219"/>
        <c:overlap val="-27"/>
        <c:axId val="205891086"/>
        <c:axId val="404701646"/>
      </c:barChart>
      <c:catAx>
        <c:axId val="20589108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4701646"/>
        <c:crosses val="autoZero"/>
        <c:auto val="1"/>
        <c:lblAlgn val="ctr"/>
        <c:lblOffset val="100"/>
        <c:noMultiLvlLbl val="0"/>
      </c:catAx>
      <c:valAx>
        <c:axId val="4047016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89108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2022-01-21T03:07:00Z</dcterms:created>
  <dc:creator>TJJ</dc:creator>
  <cp:lastModifiedBy>TJJ</cp:lastModifiedBy>
  <dcterms:modified xsi:type="dcterms:W3CDTF">2022-02-11T07:18:54Z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