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代理记账机构业务负责人承诺书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eastAsia="zh-CN"/>
        </w:rPr>
        <w:t>汶上县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财政局：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）承诺如下，并对下述承诺承担相应法律责任：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1.在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（代理记账机构名称）专职从事代理记账业务，且为该机构主管代理记账业务的负责人；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2.具有会计师以上专业技术职务资格或者从事会计工作不少于三年；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3.在资格申请或年度备案中所提交的信息及有关附件材料真实有效，电子版附件与原件一致，并承担由此引起的一切后果;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4.不存在《中华人民共和国会计法》第四十条、第四十二条、第四十三条、第四十四条关于不得从事会计工作的违法情形。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承诺人签名: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手机号码：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代理记账机构名称（公章）：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年    月   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A7B02"/>
    <w:rsid w:val="3F9A2716"/>
    <w:rsid w:val="67DF2C99"/>
    <w:rsid w:val="6DC96184"/>
    <w:rsid w:val="71256A99"/>
    <w:rsid w:val="71D3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淘淘爸</cp:lastModifiedBy>
  <dcterms:modified xsi:type="dcterms:W3CDTF">2025-03-25T08:01:44Z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3C4403260CAC4892A8E6F0F65D39FC11</vt:lpwstr>
  </property>
</Properties>
</file>