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3" w:firstLineChars="200"/>
        <w:jc w:val="center"/>
        <w:rPr>
          <w:rFonts w:hint="eastAsia" w:ascii="Times New Roman" w:hAnsi="Times New Roman" w:eastAsia="仿宋" w:cs="Times New Roman"/>
          <w:b/>
          <w:sz w:val="44"/>
          <w:szCs w:val="44"/>
          <w:lang w:eastAsia="zh-CN"/>
        </w:rPr>
      </w:pPr>
      <w:bookmarkStart w:id="0" w:name="_GoBack"/>
      <w:bookmarkEnd w:id="0"/>
      <w:r>
        <w:rPr>
          <w:rFonts w:hint="eastAsia" w:ascii="Times New Roman" w:hAnsi="Times New Roman" w:eastAsia="仿宋" w:cs="Times New Roman"/>
          <w:b/>
          <w:sz w:val="44"/>
          <w:szCs w:val="44"/>
        </w:rPr>
        <w:t>关于《汶上县公共体育设施布局专项规划（</w:t>
      </w:r>
      <w:r>
        <w:rPr>
          <w:rFonts w:ascii="Times New Roman" w:hAnsi="Times New Roman" w:eastAsia="仿宋" w:cs="Times New Roman"/>
          <w:b/>
          <w:sz w:val="44"/>
          <w:szCs w:val="44"/>
        </w:rPr>
        <w:t>2021-2035年）</w:t>
      </w:r>
      <w:r>
        <w:rPr>
          <w:rFonts w:hint="eastAsia" w:ascii="Times New Roman" w:hAnsi="Times New Roman" w:eastAsia="仿宋" w:cs="Times New Roman"/>
          <w:b/>
          <w:sz w:val="44"/>
          <w:szCs w:val="44"/>
        </w:rPr>
        <w:t>》</w:t>
      </w:r>
      <w:r>
        <w:rPr>
          <w:rFonts w:hint="eastAsia" w:ascii="Times New Roman" w:hAnsi="Times New Roman" w:eastAsia="仿宋" w:cs="Times New Roman"/>
          <w:b/>
          <w:sz w:val="44"/>
          <w:szCs w:val="44"/>
          <w:lang w:eastAsia="zh-CN"/>
        </w:rPr>
        <w:t>（</w:t>
      </w:r>
      <w:r>
        <w:rPr>
          <w:rFonts w:hint="eastAsia" w:ascii="Times New Roman" w:hAnsi="Times New Roman" w:eastAsia="仿宋" w:cs="Times New Roman"/>
          <w:b/>
          <w:sz w:val="44"/>
          <w:szCs w:val="44"/>
          <w:lang w:val="en-US" w:eastAsia="zh-CN"/>
        </w:rPr>
        <w:t>草案</w:t>
      </w:r>
      <w:r>
        <w:rPr>
          <w:rFonts w:hint="eastAsia" w:ascii="Times New Roman" w:hAnsi="Times New Roman" w:eastAsia="仿宋" w:cs="Times New Roman"/>
          <w:b/>
          <w:sz w:val="44"/>
          <w:szCs w:val="44"/>
          <w:lang w:eastAsia="zh-CN"/>
        </w:rPr>
        <w:t>）</w:t>
      </w:r>
    </w:p>
    <w:p>
      <w:pPr>
        <w:spacing w:line="580" w:lineRule="exact"/>
        <w:ind w:firstLine="640" w:firstLineChars="200"/>
        <w:rPr>
          <w:rFonts w:ascii="Times New Roman" w:hAnsi="Times New Roman" w:eastAsia="黑体" w:cs="Times New Roman"/>
          <w:sz w:val="32"/>
          <w:szCs w:val="32"/>
        </w:rPr>
      </w:pP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一、规划背景</w:t>
      </w:r>
    </w:p>
    <w:p>
      <w:pPr>
        <w:spacing w:line="580" w:lineRule="exact"/>
        <w:ind w:firstLine="640" w:firstLineChars="200"/>
      </w:pPr>
      <w:r>
        <w:rPr>
          <w:rFonts w:ascii="Times New Roman" w:hAnsi="Times New Roman" w:eastAsia="仿宋_GB2312" w:cs="Times New Roman"/>
          <w:sz w:val="32"/>
          <w:szCs w:val="32"/>
        </w:rPr>
        <w:t>党的二十大报告提出，推进健康中国建设，把保障人民健康放在优先发展的战略位置，完善人民健康促进政策，促进群众体育和竞技体育全面发展，加快建设体育强国。为落实国家战略，推进构建更高水平的全民健身公共服务体系的，优化公共体育设施规划布局，建立完善的全民健身网络体系，</w:t>
      </w:r>
      <w:r>
        <w:rPr>
          <w:rFonts w:hint="eastAsia" w:ascii="Times New Roman" w:hAnsi="Times New Roman" w:eastAsia="仿宋_GB2312" w:cs="Times New Roman"/>
          <w:sz w:val="32"/>
          <w:szCs w:val="32"/>
        </w:rPr>
        <w:t>特编制本规划，为汶上县公共体育设施和体育产业的发展提供依据。</w:t>
      </w: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规划主要内容</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（一）规划对象</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指由政府投资、筹集或引导社会资金兴建，向大众开放，满足大众体育锻炼、观赏赛事以及运动员训练竞技需求的社会公益性体育活动场所。</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（二）规划范围和期限</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本次规划范围为县域，包括中心城区和中心城区外各镇村。规划期限与《汶上县国土空间总体规划（2021-2035年）》相协调，近期规划是2021-2025年，远期规划是2026-2035年。</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）规划目标</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补齐公共体育设施短板，凸显体育产业特色，通过“补短板、强基础、惠民生、兴产业”，将分级体育设施串联成网，以“体育+”的模式引导特色发展，鼓励社会主体和市场力量参与，构建与城市经济社会发展相适应的公共体育设施服务体系。2025年，公共体育设施服务体系更加完善，人均公共体育用地达到0.3平方米，人均体育场地面积达到2.8平方米，每万人拥有1.0块足球场，建成十五分钟健身圈。至2035年，构筑完善的公共体育设施网络化服务体系和特色鲜明的体育产业体系，人均公共体育用地达到0.8平方米，人均体育场地面积达到3.6平方米，每万人拥有1.1块足球场，构建五分钟健身圈。</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）配置标准及需求分析</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1、公共体育设施分级体系</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中心城区：形成县级—居住区级两层体系，其中居住区级分为十五分钟生活圈、十分钟生活圈、五分钟生活圈三级配置。</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中心城区外各镇村：按照服务人口和服务半径分为三十分钟生活圈、十五分钟生活圈和五分钟生活圈三级配置。</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2、配置内容</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中心城区</w:t>
      </w:r>
      <w:r>
        <w:rPr>
          <w:rFonts w:hint="eastAsia" w:ascii="Times New Roman" w:hAnsi="Times New Roman" w:eastAsia="仿宋_GB2312" w:cs="Times New Roman"/>
          <w:snapToGrid/>
          <w:kern w:val="2"/>
          <w:sz w:val="32"/>
          <w:szCs w:val="32"/>
        </w:rPr>
        <w:t>：</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县级：应配置公共体育场、公共体育馆、公共游泳馆、全民健身中心和体育公园（健身广场）；其中公共体育馆、全民健身中心和公共游泳馆可合建。</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居住区级：</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十五分钟生活圈应配置大型多功能运动场地，可配置全民健身中心；</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十分钟生活圈应配置中型多功能运动场地；</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五分钟生活圈应配置小型多功能运动场地和室外综合健身场地。</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中心城区外各镇村：三十分钟生活圈应配置多功能运动场，可配置全民健身中心；十五分钟生活圈应配置球场；五分钟生活圈应配置文体广场和健身场地。</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3、人均建设用地指标及用地需求</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中心城区内，县级公共体育设施按照0.3-0.4m/人计算，居住区级公共体育设施按照0.3m/人计算；镇村区域内，人均标准参考城市标准，按照0.3m/人计算。</w:t>
      </w:r>
    </w:p>
    <w:p>
      <w:pPr>
        <w:spacing w:line="580" w:lineRule="exact"/>
        <w:ind w:firstLine="640" w:firstLineChars="200"/>
        <w:rPr>
          <w:rFonts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rPr>
        <w:t>2035年汶上县县域人口79万，中心城区人口规模为33万人。中心城区县级公共体育用地9.9-13.2公顷，居住区级公共体育用地9.9公顷。中心城区外各镇村公共体育用地13.8公顷。</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）公共体育设施布局规划</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依据联系公共交通、结合城市开敞空间、融合其他城市公共功能、突出城市地域特色的空间布局原则，按照中心城区布局、城区外围各乡镇布局、全民健身网络规划、附属体育设施规划指引、足球场地规划五大模块来进行布局规划。</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1.中心城区</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形成“一心、多节点、两廊、全网络”公共体育设施均等化网格的空间布局结构。“一心”是指汶上县体育中心，位于泉河新城片区，含体育馆、体育场、全民健身中心和全民健身广场，再加上体育公园，形成县级公共体育设施网络。“多节点”是指由居住区级体育设施形成的节点，结合老城区有机更新，实行新老城区差异化配置，划定6个十五分钟生活圈、16个十分钟生活圈、34个五分钟生活圈，采取“独立占地+合建”的建设形式，形成“集中式+分散式”的均衡布置，构建居住区级公共体育设施网络。“两廊”是指依托北泉河和东护城河形成的两条滨河休闲健身长廊；利用现有的河流优势资源，结合滨水公园绿地，将体育健身设施和场地融入到生态环境中，以休闲健身运动为主，体现出汶上特色的体育空间。“全网络”是指通过在居住区中心、街头广场、沿街绿地中设置规模不等的健身场地，并结合城市慢行系统和绿地系统，形成有机连环的体育健身网络。</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2.城区外围各乡镇</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着重加强乡镇、农村地区公共体育设施建设，基于“集约节约、共享共建”的原则，结合乡镇的公共中心、居住社区布置，构建城乡一体的公共体育服务体系。至2035年，以乡镇为单元形成12个30分钟生活圈；以集聚提升类（或城郊融合类、特色保护类等）村庄为中心，构建半径2公里左右、人口规模3000-8000人的15分钟生活圈75个。</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3.全民健身网络</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一是规划健身步道。结合自然公园、人文景点，依托水系绿道、生活性道路，打造城市慢跑路线；依托昙山等山体建设登山健身步道、山地自行车道、旅游景观道“三位一体”的登山健身步道系统，串联郊野旅游资源，规划约46公里的主要健身步道。二是规划自行车休闲网络。沿中都水库、泉河、东护城河等河流水系、城市绿地系统及大型居住区周边的自行车健身道，规划主要自行车骑行道合计约 230公里，建成自行车绿道体系。</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4.附属体育设施</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一是规划单位附属体育设施2035年开放率达到80%以上。其中，有条件的学校向社会开放体育设施场地，新建学校做好教学区域和体育场地的相对分隔，机关企事业单位体育设施应有条件进行开放。二是市场化体育设施综合利用规划。主要是鼓励社会力量参与民办商业化体育健身设施、场所建设，丰富市场供给。</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5.足球场地</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至2035年，规划足球场地8</w:t>
      </w:r>
      <w:r>
        <w:rPr>
          <w:rFonts w:hint="eastAsia" w:ascii="Times New Roman" w:hAnsi="Times New Roman" w:eastAsia="仿宋_GB2312" w:cs="Times New Roman"/>
          <w:snapToGrid/>
          <w:kern w:val="2"/>
          <w:sz w:val="32"/>
          <w:szCs w:val="32"/>
        </w:rPr>
        <w:t>5</w:t>
      </w:r>
      <w:r>
        <w:rPr>
          <w:rFonts w:ascii="Times New Roman" w:hAnsi="Times New Roman" w:eastAsia="仿宋_GB2312" w:cs="Times New Roman"/>
          <w:snapToGrid/>
          <w:kern w:val="2"/>
          <w:sz w:val="32"/>
          <w:szCs w:val="32"/>
        </w:rPr>
        <w:t>处。其中，原则上每个十五分钟生活圈宜结合生活圈公园布置1个7（8）人制足球场，每个十分钟生活圈宜结合文体中心或社区游园设置至少1个5人制足球场，形成十分钟足球健身圈。按照汶上县教育专项规划，各学校应配套建有足球场地，有条件的新建学校应全部配建 11 人制标准足球场。</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六</w:t>
      </w:r>
      <w:r>
        <w:rPr>
          <w:rFonts w:ascii="Times New Roman" w:hAnsi="Times New Roman" w:eastAsia="楷体_GB2312" w:cs="Times New Roman"/>
          <w:sz w:val="32"/>
          <w:szCs w:val="32"/>
        </w:rPr>
        <w:t>）体育产业发展规划</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到2035年，基本建成布局合理、功能完善、门类齐全、以体育健身休闲业和竞赛表演业为基础、以体育用品制造业为特色的现代体育产业体系，形成“一核、两廊、两区、多点”的体育产业功能区布局结构，成为经济新的增长点。“一核”是指围绕汶上县中心城区打造现代体育功能核心区的综合服务区。“两廊”是指依托泉河和济北旅游大道形成的两条健身休闲长廊。“两区”是指北部山地生态户外运动休闲区和南部的运河文化运动体验区。“多点”是指依托相应资源策划一批体育产业有关的特色项目，比如体育用品制造产业园、运河古城体育小镇、莲花湖体育小镇、昙山运动谷等。</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（七）</w:t>
      </w:r>
      <w:r>
        <w:rPr>
          <w:rFonts w:ascii="Times New Roman" w:hAnsi="Times New Roman" w:eastAsia="楷体_GB2312" w:cs="Times New Roman"/>
          <w:sz w:val="32"/>
          <w:szCs w:val="32"/>
        </w:rPr>
        <w:t>近期</w:t>
      </w:r>
      <w:r>
        <w:rPr>
          <w:rFonts w:hint="eastAsia" w:ascii="Times New Roman" w:hAnsi="Times New Roman" w:eastAsia="楷体_GB2312" w:cs="Times New Roman"/>
          <w:sz w:val="32"/>
          <w:szCs w:val="32"/>
        </w:rPr>
        <w:t>建设规划</w:t>
      </w:r>
    </w:p>
    <w:p>
      <w:pPr>
        <w:spacing w:line="58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近期实施的2021-2025年规划重点是：（1）体育中心（体育馆、体育场、全民健身中心）的建设；（2）体育公园的建设；（3）重点建设居住区级体育设施：新建小区按照配置标准进行配建，老旧小区结合改造，增加体育设施，补齐体育设施短板；（4）6个社会足球场的建设；（5）健身步道的建设；（6）乡镇 “两个一”工程进行改造升级。</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（八）</w:t>
      </w:r>
      <w:r>
        <w:rPr>
          <w:rFonts w:ascii="Times New Roman" w:hAnsi="Times New Roman" w:eastAsia="楷体_GB2312" w:cs="Times New Roman"/>
          <w:sz w:val="32"/>
          <w:szCs w:val="32"/>
        </w:rPr>
        <w:t>保障措施</w:t>
      </w:r>
    </w:p>
    <w:p>
      <w:pPr>
        <w:spacing w:line="570" w:lineRule="exact"/>
        <w:ind w:firstLine="640" w:firstLineChars="200"/>
        <w:rPr>
          <w:rFonts w:ascii="Times New Roman" w:hAnsi="Times New Roman" w:eastAsia="仿宋_GB2312" w:cs="Times New Roman"/>
          <w:snapToGrid/>
          <w:kern w:val="2"/>
          <w:sz w:val="32"/>
          <w:szCs w:val="32"/>
        </w:rPr>
      </w:pPr>
      <w:r>
        <w:rPr>
          <w:rFonts w:ascii="Times New Roman" w:hAnsi="Times New Roman" w:eastAsia="仿宋_GB2312" w:cs="Times New Roman"/>
          <w:snapToGrid/>
          <w:kern w:val="2"/>
          <w:sz w:val="32"/>
          <w:szCs w:val="32"/>
        </w:rPr>
        <w:t>在实施过程中要加强公共体育设施专项规划与中心城区控制性详细规划的联动衔接，完善县—镇—村三级联动、多部门合作的工作协调机制，完善政府主导、社会协同、公众参与、法治保障的全民健身工作机制，合理保障体育用地，鼓励城市建设用地的复合利用与多功能融合，进一步推进学校和机关企事业单位附属体育设施对外开放，加强宣传引导，引导公众参与。</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YTNjMzExMjk2OWQ4NTZjMWRiZjkwZDczN2YwYzYifQ=="/>
  </w:docVars>
  <w:rsids>
    <w:rsidRoot w:val="3CF20CDA"/>
    <w:rsid w:val="15150304"/>
    <w:rsid w:val="3CF20CDA"/>
    <w:rsid w:val="5624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utoSpaceDE w:val="0"/>
      <w:autoSpaceDN w:val="0"/>
      <w:adjustRightInd w:val="0"/>
      <w:snapToGrid w:val="0"/>
      <w:jc w:val="both"/>
    </w:pPr>
    <w:rPr>
      <w:rFonts w:ascii="宋体" w:hAnsi="宋体" w:eastAsia="宋体" w:cs="宋体"/>
      <w:snapToGrid w:val="0"/>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semiHidden/>
    <w:unhideWhenUsed/>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2023-12-14T02:02:00Z</dcterms:created>
  <dc:creator>lenovo</dc:creator>
  <cp:lastModifiedBy>刘辉</cp:lastModifiedBy>
  <dcterms:modified xsi:type="dcterms:W3CDTF">2023-12-20T07:47:30Z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A22366B3A6B04BDAB90DD48B4E90F597_13</vt:lpwstr>
  </property>
</Properties>
</file>