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行政处罚信息公开统计表(6月）</w:t>
      </w:r>
    </w:p>
    <w:p>
      <w:pPr>
        <w:jc w:val="left"/>
      </w:pPr>
    </w:p>
    <w:p>
      <w:pPr>
        <w:jc w:val="left"/>
      </w:pPr>
      <w:r>
        <w:rPr>
          <w:rFonts w:hint="eastAsia"/>
        </w:rPr>
        <w:t>填表单位：汶上县应急管理局                                                                               填表日期： 2025年6月30日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708"/>
        <w:gridCol w:w="1134"/>
        <w:gridCol w:w="851"/>
        <w:gridCol w:w="709"/>
        <w:gridCol w:w="2551"/>
        <w:gridCol w:w="709"/>
        <w:gridCol w:w="741"/>
        <w:gridCol w:w="535"/>
        <w:gridCol w:w="1134"/>
        <w:gridCol w:w="992"/>
        <w:gridCol w:w="425"/>
        <w:gridCol w:w="184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534"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案件类别</w:t>
            </w:r>
          </w:p>
        </w:tc>
        <w:tc>
          <w:tcPr>
            <w:tcW w:w="567"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序号</w:t>
            </w:r>
          </w:p>
        </w:tc>
        <w:tc>
          <w:tcPr>
            <w:tcW w:w="708"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行政处罚决定书文号</w:t>
            </w:r>
          </w:p>
        </w:tc>
        <w:tc>
          <w:tcPr>
            <w:tcW w:w="1134"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案件名称</w:t>
            </w:r>
          </w:p>
        </w:tc>
        <w:tc>
          <w:tcPr>
            <w:tcW w:w="851"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主要违法事实</w:t>
            </w:r>
          </w:p>
        </w:tc>
        <w:tc>
          <w:tcPr>
            <w:tcW w:w="709"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处罚种类</w:t>
            </w:r>
          </w:p>
        </w:tc>
        <w:tc>
          <w:tcPr>
            <w:tcW w:w="2551"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处罚依据</w:t>
            </w:r>
          </w:p>
        </w:tc>
        <w:tc>
          <w:tcPr>
            <w:tcW w:w="709"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法定企业名称或自然人姓名</w:t>
            </w:r>
          </w:p>
        </w:tc>
        <w:tc>
          <w:tcPr>
            <w:tcW w:w="741"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违法企业组织机构代码(行政相对人居民身份证号)</w:t>
            </w:r>
          </w:p>
        </w:tc>
        <w:tc>
          <w:tcPr>
            <w:tcW w:w="535"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法定代表人姓名</w:t>
            </w:r>
          </w:p>
        </w:tc>
        <w:tc>
          <w:tcPr>
            <w:tcW w:w="1134"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处罚内容</w:t>
            </w:r>
          </w:p>
        </w:tc>
        <w:tc>
          <w:tcPr>
            <w:tcW w:w="992"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处罚决定日期</w:t>
            </w:r>
          </w:p>
        </w:tc>
        <w:tc>
          <w:tcPr>
            <w:tcW w:w="425"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处罚结果</w:t>
            </w:r>
          </w:p>
        </w:tc>
        <w:tc>
          <w:tcPr>
            <w:tcW w:w="1843"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救济渠道</w:t>
            </w:r>
          </w:p>
        </w:tc>
        <w:tc>
          <w:tcPr>
            <w:tcW w:w="709"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534" w:type="dxa"/>
            <w:vAlign w:val="center"/>
          </w:tcPr>
          <w:p>
            <w:pPr>
              <w:jc w:val="center"/>
            </w:pPr>
            <w:r>
              <w:t>其他</w:t>
            </w:r>
          </w:p>
        </w:tc>
        <w:tc>
          <w:tcPr>
            <w:tcW w:w="567" w:type="dxa"/>
            <w:vAlign w:val="center"/>
          </w:tcPr>
          <w:p>
            <w:pPr>
              <w:jc w:val="center"/>
            </w:pPr>
            <w:r>
              <w:rPr>
                <w:rFonts w:hint="eastAsia"/>
              </w:rPr>
              <w:t>1</w:t>
            </w:r>
          </w:p>
        </w:tc>
        <w:tc>
          <w:tcPr>
            <w:tcW w:w="708" w:type="dxa"/>
            <w:vAlign w:val="center"/>
          </w:tcPr>
          <w:p>
            <w:pPr>
              <w:jc w:val="center"/>
              <w:rPr>
                <w:highlight w:val="yellow"/>
              </w:rPr>
            </w:pPr>
            <w:r>
              <w:rPr>
                <w:rFonts w:hint="eastAsia"/>
              </w:rPr>
              <w:t>(鲁宁汶) 应急罚〔2025〕23号</w:t>
            </w:r>
          </w:p>
        </w:tc>
        <w:tc>
          <w:tcPr>
            <w:tcW w:w="1134" w:type="dxa"/>
            <w:vAlign w:val="center"/>
          </w:tcPr>
          <w:p>
            <w:pPr>
              <w:jc w:val="center"/>
              <w:rPr>
                <w:highlight w:val="yellow"/>
              </w:rPr>
            </w:pPr>
            <w:r>
              <w:rPr>
                <w:rFonts w:hint="eastAsia"/>
              </w:rPr>
              <w:t>山东湘硕化工有限公司未对安全设备进行经常性维护案</w:t>
            </w:r>
          </w:p>
        </w:tc>
        <w:tc>
          <w:tcPr>
            <w:tcW w:w="851" w:type="dxa"/>
            <w:vAlign w:val="center"/>
          </w:tcPr>
          <w:p>
            <w:pPr>
              <w:jc w:val="center"/>
              <w:rPr>
                <w:highlight w:val="yellow"/>
              </w:rPr>
            </w:pPr>
            <w:r>
              <w:rPr>
                <w:rFonts w:hint="eastAsia"/>
              </w:rPr>
              <w:t>未对安全设备进行经常性维护</w:t>
            </w:r>
          </w:p>
        </w:tc>
        <w:tc>
          <w:tcPr>
            <w:tcW w:w="709" w:type="dxa"/>
            <w:vAlign w:val="center"/>
          </w:tcPr>
          <w:p>
            <w:pPr>
              <w:jc w:val="center"/>
            </w:pPr>
            <w:r>
              <w:t>罚款</w:t>
            </w:r>
          </w:p>
        </w:tc>
        <w:tc>
          <w:tcPr>
            <w:tcW w:w="2551" w:type="dxa"/>
            <w:vAlign w:val="center"/>
          </w:tcPr>
          <w:p>
            <w:pPr>
              <w:jc w:val="center"/>
              <w:rPr>
                <w:highlight w:val="yellow"/>
              </w:rPr>
            </w:pPr>
            <w:r>
              <w:rPr>
                <w:rFonts w:hint="eastAsia"/>
              </w:rPr>
              <w:t>《中华人民共和国安全生产法》第九十九条第三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结合《山东省应急管理行政处罚自由裁量基准》（裁量细则） 第19号第B档</w:t>
            </w:r>
          </w:p>
        </w:tc>
        <w:tc>
          <w:tcPr>
            <w:tcW w:w="709" w:type="dxa"/>
            <w:vAlign w:val="center"/>
          </w:tcPr>
          <w:p>
            <w:pPr>
              <w:jc w:val="center"/>
              <w:rPr>
                <w:highlight w:val="yellow"/>
              </w:rPr>
            </w:pPr>
            <w:r>
              <w:rPr>
                <w:rFonts w:hint="eastAsia"/>
              </w:rPr>
              <w:t>山东湘硕化工有限公司</w:t>
            </w:r>
          </w:p>
        </w:tc>
        <w:tc>
          <w:tcPr>
            <w:tcW w:w="741" w:type="dxa"/>
            <w:vAlign w:val="center"/>
          </w:tcPr>
          <w:p>
            <w:pPr>
              <w:jc w:val="center"/>
              <w:rPr>
                <w:highlight w:val="yellow"/>
              </w:rPr>
            </w:pPr>
            <w:r>
              <w:t>913703057784453184</w:t>
            </w:r>
          </w:p>
        </w:tc>
        <w:tc>
          <w:tcPr>
            <w:tcW w:w="535" w:type="dxa"/>
            <w:vAlign w:val="center"/>
          </w:tcPr>
          <w:p>
            <w:pPr>
              <w:jc w:val="center"/>
            </w:pPr>
            <w:r>
              <w:t>匡</w:t>
            </w:r>
          </w:p>
          <w:p>
            <w:pPr>
              <w:jc w:val="center"/>
              <w:rPr>
                <w:rFonts w:hint="eastAsia" w:eastAsiaTheme="minorEastAsia"/>
                <w:lang w:eastAsia="zh-CN"/>
              </w:rPr>
            </w:pPr>
            <w:r>
              <w:rPr>
                <w:rFonts w:hint="eastAsia"/>
                <w:lang w:val="en-US" w:eastAsia="zh-CN"/>
              </w:rPr>
              <w:t>*</w:t>
            </w:r>
          </w:p>
        </w:tc>
        <w:tc>
          <w:tcPr>
            <w:tcW w:w="1134" w:type="dxa"/>
            <w:vAlign w:val="center"/>
          </w:tcPr>
          <w:p>
            <w:pPr>
              <w:jc w:val="center"/>
              <w:rPr>
                <w:highlight w:val="yellow"/>
              </w:rPr>
            </w:pPr>
            <w:r>
              <w:rPr>
                <w:rFonts w:hint="eastAsia"/>
              </w:rPr>
              <w:t>罚款人民币贰万元（￥20000）整</w:t>
            </w:r>
          </w:p>
        </w:tc>
        <w:tc>
          <w:tcPr>
            <w:tcW w:w="992" w:type="dxa"/>
            <w:vAlign w:val="center"/>
          </w:tcPr>
          <w:p>
            <w:pPr>
              <w:jc w:val="center"/>
              <w:rPr>
                <w:highlight w:val="yellow"/>
              </w:rPr>
            </w:pPr>
            <w:r>
              <w:rPr>
                <w:rFonts w:hint="eastAsia"/>
              </w:rPr>
              <w:t>2025年6月6日</w:t>
            </w:r>
          </w:p>
        </w:tc>
        <w:tc>
          <w:tcPr>
            <w:tcW w:w="425" w:type="dxa"/>
            <w:vAlign w:val="center"/>
          </w:tcPr>
          <w:p>
            <w:pPr>
              <w:jc w:val="center"/>
            </w:pPr>
            <w:r>
              <w:rPr>
                <w:rFonts w:hint="eastAsia"/>
              </w:rPr>
              <w:t>处罚完毕</w:t>
            </w:r>
          </w:p>
        </w:tc>
        <w:tc>
          <w:tcPr>
            <w:tcW w:w="1843" w:type="dxa"/>
            <w:vAlign w:val="center"/>
          </w:tcPr>
          <w:p>
            <w:pPr>
              <w:jc w:val="center"/>
            </w:pPr>
            <w:r>
              <w:rPr>
                <w:rFonts w:hint="eastAsia"/>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vAlign w:val="center"/>
          </w:tcPr>
          <w:p>
            <w:pPr>
              <w:jc w:val="center"/>
            </w:pPr>
            <w:r>
              <w:rPr>
                <w:rFonts w:hint="eastAsia"/>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vAlign w:val="center"/>
          </w:tcPr>
          <w:p>
            <w:pPr>
              <w:jc w:val="center"/>
            </w:pPr>
            <w:r>
              <w:rPr>
                <w:rFonts w:hint="eastAsia"/>
              </w:rPr>
              <w:t>其他</w:t>
            </w:r>
          </w:p>
        </w:tc>
        <w:tc>
          <w:tcPr>
            <w:tcW w:w="567" w:type="dxa"/>
            <w:vAlign w:val="center"/>
          </w:tcPr>
          <w:p>
            <w:pPr>
              <w:jc w:val="center"/>
            </w:pPr>
            <w:r>
              <w:rPr>
                <w:rFonts w:hint="eastAsia"/>
              </w:rPr>
              <w:t>2</w:t>
            </w:r>
          </w:p>
        </w:tc>
        <w:tc>
          <w:tcPr>
            <w:tcW w:w="708" w:type="dxa"/>
            <w:vAlign w:val="center"/>
          </w:tcPr>
          <w:p>
            <w:pPr>
              <w:jc w:val="center"/>
            </w:pPr>
            <w:r>
              <w:rPr>
                <w:rFonts w:hint="eastAsia"/>
              </w:rPr>
              <w:t>(鲁宁汶) 应急罚〔2025〕20号</w:t>
            </w:r>
          </w:p>
        </w:tc>
        <w:tc>
          <w:tcPr>
            <w:tcW w:w="1134" w:type="dxa"/>
            <w:vAlign w:val="center"/>
          </w:tcPr>
          <w:p>
            <w:pPr>
              <w:jc w:val="center"/>
            </w:pPr>
            <w:r>
              <w:rPr>
                <w:rFonts w:hint="eastAsia"/>
              </w:rPr>
              <w:t>东营市德鑫建筑工程劳务分包有限公司使用未取得特种作业操作证的电焊人员上岗作业案</w:t>
            </w:r>
          </w:p>
        </w:tc>
        <w:tc>
          <w:tcPr>
            <w:tcW w:w="851" w:type="dxa"/>
            <w:vAlign w:val="center"/>
          </w:tcPr>
          <w:p>
            <w:pPr>
              <w:jc w:val="center"/>
            </w:pPr>
            <w:r>
              <w:rPr>
                <w:rFonts w:hint="eastAsia"/>
              </w:rPr>
              <w:t>使用未取得特种作业操作证的电焊人员上岗作业</w:t>
            </w:r>
          </w:p>
        </w:tc>
        <w:tc>
          <w:tcPr>
            <w:tcW w:w="709" w:type="dxa"/>
            <w:vAlign w:val="center"/>
          </w:tcPr>
          <w:p>
            <w:pPr>
              <w:jc w:val="center"/>
            </w:pPr>
            <w:r>
              <w:t>罚款</w:t>
            </w:r>
          </w:p>
        </w:tc>
        <w:tc>
          <w:tcPr>
            <w:tcW w:w="2551" w:type="dxa"/>
            <w:vAlign w:val="center"/>
          </w:tcPr>
          <w:p>
            <w:pPr>
              <w:jc w:val="center"/>
            </w:pPr>
            <w:r>
              <w:rPr>
                <w:rFonts w:hint="eastAsia"/>
              </w:rPr>
              <w:t>《特种作业人员安全技术培训考核管理规定》第三十九条第一款：“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结合《山东省应急管理行政处罚自由裁量基准》（裁量细则） 第100号第B档</w:t>
            </w:r>
          </w:p>
        </w:tc>
        <w:tc>
          <w:tcPr>
            <w:tcW w:w="709" w:type="dxa"/>
            <w:vAlign w:val="center"/>
          </w:tcPr>
          <w:p>
            <w:pPr>
              <w:jc w:val="center"/>
            </w:pPr>
            <w:r>
              <w:rPr>
                <w:rFonts w:hint="eastAsia"/>
              </w:rPr>
              <w:t>东营市德鑫建筑工程劳务分包有限公司</w:t>
            </w:r>
          </w:p>
        </w:tc>
        <w:tc>
          <w:tcPr>
            <w:tcW w:w="741" w:type="dxa"/>
            <w:vAlign w:val="center"/>
          </w:tcPr>
          <w:p>
            <w:pPr>
              <w:jc w:val="center"/>
            </w:pPr>
            <w:r>
              <w:t>91370521MA3M9WWC03</w:t>
            </w:r>
          </w:p>
        </w:tc>
        <w:tc>
          <w:tcPr>
            <w:tcW w:w="535" w:type="dxa"/>
            <w:vAlign w:val="center"/>
          </w:tcPr>
          <w:p>
            <w:pPr>
              <w:jc w:val="center"/>
            </w:pPr>
            <w:r>
              <w:t>肖</w:t>
            </w:r>
            <w:bookmarkStart w:id="0" w:name="_GoBack"/>
            <w:bookmarkEnd w:id="0"/>
          </w:p>
          <w:p>
            <w:pPr>
              <w:jc w:val="center"/>
              <w:rPr>
                <w:rFonts w:hint="eastAsia"/>
                <w:lang w:val="en-US" w:eastAsia="zh-CN"/>
              </w:rPr>
            </w:pPr>
            <w:r>
              <w:rPr>
                <w:rFonts w:hint="eastAsia"/>
                <w:lang w:val="en-US" w:eastAsia="zh-CN"/>
              </w:rPr>
              <w:t>*</w:t>
            </w:r>
          </w:p>
          <w:p>
            <w:pPr>
              <w:jc w:val="center"/>
            </w:pPr>
            <w:r>
              <w:t>兰</w:t>
            </w:r>
          </w:p>
        </w:tc>
        <w:tc>
          <w:tcPr>
            <w:tcW w:w="1134" w:type="dxa"/>
            <w:vAlign w:val="center"/>
          </w:tcPr>
          <w:p>
            <w:pPr>
              <w:jc w:val="center"/>
            </w:pPr>
            <w:r>
              <w:rPr>
                <w:rFonts w:hint="eastAsia"/>
              </w:rPr>
              <w:t>罚款人民币贰万元（￥20000）整</w:t>
            </w:r>
          </w:p>
        </w:tc>
        <w:tc>
          <w:tcPr>
            <w:tcW w:w="992" w:type="dxa"/>
            <w:vAlign w:val="center"/>
          </w:tcPr>
          <w:p>
            <w:pPr>
              <w:jc w:val="center"/>
            </w:pPr>
            <w:r>
              <w:rPr>
                <w:rFonts w:hint="eastAsia"/>
              </w:rPr>
              <w:t>2025年5月30日</w:t>
            </w:r>
          </w:p>
        </w:tc>
        <w:tc>
          <w:tcPr>
            <w:tcW w:w="425" w:type="dxa"/>
            <w:vAlign w:val="center"/>
          </w:tcPr>
          <w:p>
            <w:pPr>
              <w:jc w:val="center"/>
            </w:pPr>
            <w:r>
              <w:rPr>
                <w:rFonts w:hint="eastAsia"/>
              </w:rPr>
              <w:t>处罚完毕</w:t>
            </w:r>
          </w:p>
        </w:tc>
        <w:tc>
          <w:tcPr>
            <w:tcW w:w="1843" w:type="dxa"/>
            <w:vAlign w:val="center"/>
          </w:tcPr>
          <w:p>
            <w:pPr>
              <w:jc w:val="center"/>
            </w:pPr>
            <w:r>
              <w:rPr>
                <w:rFonts w:hint="eastAsia"/>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vAlign w:val="center"/>
          </w:tcPr>
          <w:p>
            <w:pPr>
              <w:jc w:val="center"/>
            </w:pPr>
            <w:r>
              <w:rPr>
                <w:rFonts w:hint="eastAsia"/>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vAlign w:val="center"/>
          </w:tcPr>
          <w:p>
            <w:pPr>
              <w:jc w:val="center"/>
            </w:pPr>
            <w:r>
              <w:rPr>
                <w:rFonts w:hint="eastAsia"/>
              </w:rPr>
              <w:t>其他</w:t>
            </w:r>
          </w:p>
        </w:tc>
        <w:tc>
          <w:tcPr>
            <w:tcW w:w="567" w:type="dxa"/>
            <w:vAlign w:val="center"/>
          </w:tcPr>
          <w:p>
            <w:pPr>
              <w:jc w:val="center"/>
            </w:pPr>
            <w:r>
              <w:rPr>
                <w:rFonts w:hint="eastAsia"/>
              </w:rPr>
              <w:t>3</w:t>
            </w:r>
          </w:p>
        </w:tc>
        <w:tc>
          <w:tcPr>
            <w:tcW w:w="708" w:type="dxa"/>
            <w:vAlign w:val="center"/>
          </w:tcPr>
          <w:p>
            <w:pPr>
              <w:jc w:val="center"/>
            </w:pPr>
            <w:r>
              <w:rPr>
                <w:rFonts w:hint="eastAsia"/>
              </w:rPr>
              <w:t>(鲁宁汶) 应急罚〔2025〕18号</w:t>
            </w:r>
          </w:p>
        </w:tc>
        <w:tc>
          <w:tcPr>
            <w:tcW w:w="1134" w:type="dxa"/>
            <w:vAlign w:val="center"/>
          </w:tcPr>
          <w:p>
            <w:pPr>
              <w:jc w:val="center"/>
            </w:pPr>
            <w:r>
              <w:rPr>
                <w:rFonts w:hint="eastAsia"/>
              </w:rPr>
              <w:t>汶上县博泰服装有限公司东和园分公司安全生产管理人员未履行《中华人民共和国安全生产法》规定的安全生产管理职责案</w:t>
            </w:r>
          </w:p>
        </w:tc>
        <w:tc>
          <w:tcPr>
            <w:tcW w:w="851" w:type="dxa"/>
            <w:vAlign w:val="center"/>
          </w:tcPr>
          <w:p>
            <w:pPr>
              <w:jc w:val="center"/>
            </w:pPr>
            <w:r>
              <w:rPr>
                <w:rFonts w:hint="eastAsia"/>
              </w:rPr>
              <w:t>安全生产管理人员未履行《中华人民共和国安全生产法》规定的安全生产管理职责</w:t>
            </w:r>
          </w:p>
        </w:tc>
        <w:tc>
          <w:tcPr>
            <w:tcW w:w="709" w:type="dxa"/>
            <w:vAlign w:val="center"/>
          </w:tcPr>
          <w:p>
            <w:pPr>
              <w:jc w:val="center"/>
            </w:pPr>
            <w:r>
              <w:t>罚款</w:t>
            </w:r>
          </w:p>
        </w:tc>
        <w:tc>
          <w:tcPr>
            <w:tcW w:w="2551" w:type="dxa"/>
            <w:vAlign w:val="center"/>
          </w:tcPr>
          <w:p>
            <w:pPr>
              <w:jc w:val="center"/>
            </w:pPr>
            <w:r>
              <w:rPr>
                <w:rFonts w:hint="eastAsia"/>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结合《山东省应急管理行政处罚自由裁量基准》（裁量细则） 第8号第A档</w:t>
            </w:r>
          </w:p>
        </w:tc>
        <w:tc>
          <w:tcPr>
            <w:tcW w:w="709" w:type="dxa"/>
            <w:vAlign w:val="center"/>
          </w:tcPr>
          <w:p>
            <w:pPr>
              <w:jc w:val="center"/>
            </w:pPr>
            <w:r>
              <w:rPr>
                <w:rFonts w:hint="eastAsia"/>
              </w:rPr>
              <w:t>汶上县博泰服装有限公司东和园分公司（李学红）</w:t>
            </w:r>
          </w:p>
        </w:tc>
        <w:tc>
          <w:tcPr>
            <w:tcW w:w="741" w:type="dxa"/>
            <w:vAlign w:val="center"/>
          </w:tcPr>
          <w:p>
            <w:pPr>
              <w:jc w:val="center"/>
            </w:pPr>
            <w:r>
              <w:t>340121198010150726</w:t>
            </w:r>
          </w:p>
        </w:tc>
        <w:tc>
          <w:tcPr>
            <w:tcW w:w="535" w:type="dxa"/>
            <w:vAlign w:val="center"/>
          </w:tcPr>
          <w:p>
            <w:pPr>
              <w:jc w:val="center"/>
            </w:pPr>
            <w:r>
              <w:t>王</w:t>
            </w:r>
          </w:p>
          <w:p>
            <w:pPr>
              <w:jc w:val="center"/>
              <w:rPr>
                <w:rFonts w:hint="eastAsia"/>
                <w:lang w:val="en-US" w:eastAsia="zh-CN"/>
              </w:rPr>
            </w:pPr>
            <w:r>
              <w:rPr>
                <w:rFonts w:hint="eastAsia"/>
                <w:lang w:val="en-US" w:eastAsia="zh-CN"/>
              </w:rPr>
              <w:t>*</w:t>
            </w:r>
          </w:p>
          <w:p>
            <w:pPr>
              <w:jc w:val="center"/>
            </w:pPr>
            <w:r>
              <w:t>艳</w:t>
            </w:r>
          </w:p>
        </w:tc>
        <w:tc>
          <w:tcPr>
            <w:tcW w:w="1134" w:type="dxa"/>
            <w:vAlign w:val="center"/>
          </w:tcPr>
          <w:p>
            <w:pPr>
              <w:jc w:val="center"/>
            </w:pPr>
            <w:r>
              <w:rPr>
                <w:rFonts w:hint="eastAsia"/>
              </w:rPr>
              <w:t>罚款人民币壹万元（￥10000）整</w:t>
            </w:r>
          </w:p>
        </w:tc>
        <w:tc>
          <w:tcPr>
            <w:tcW w:w="992" w:type="dxa"/>
            <w:vAlign w:val="center"/>
          </w:tcPr>
          <w:p>
            <w:pPr>
              <w:jc w:val="center"/>
            </w:pPr>
            <w:r>
              <w:rPr>
                <w:rFonts w:hint="eastAsia"/>
              </w:rPr>
              <w:t>2025年5月22日</w:t>
            </w:r>
          </w:p>
        </w:tc>
        <w:tc>
          <w:tcPr>
            <w:tcW w:w="425" w:type="dxa"/>
            <w:vAlign w:val="center"/>
          </w:tcPr>
          <w:p>
            <w:pPr>
              <w:jc w:val="center"/>
            </w:pPr>
            <w:r>
              <w:rPr>
                <w:rFonts w:hint="eastAsia"/>
              </w:rPr>
              <w:t>处罚完毕</w:t>
            </w:r>
          </w:p>
        </w:tc>
        <w:tc>
          <w:tcPr>
            <w:tcW w:w="1843" w:type="dxa"/>
            <w:vAlign w:val="center"/>
          </w:tcPr>
          <w:p>
            <w:pPr>
              <w:jc w:val="center"/>
            </w:pPr>
            <w:r>
              <w:rPr>
                <w:rFonts w:hint="eastAsia"/>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vAlign w:val="center"/>
          </w:tcPr>
          <w:p>
            <w:pPr>
              <w:jc w:val="center"/>
            </w:pPr>
            <w:r>
              <w:rPr>
                <w:rFonts w:hint="eastAsia"/>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vAlign w:val="center"/>
          </w:tcPr>
          <w:p>
            <w:pPr>
              <w:jc w:val="center"/>
            </w:pPr>
            <w:r>
              <w:rPr>
                <w:rFonts w:hint="eastAsia"/>
              </w:rPr>
              <w:t>其他</w:t>
            </w:r>
          </w:p>
        </w:tc>
        <w:tc>
          <w:tcPr>
            <w:tcW w:w="567" w:type="dxa"/>
            <w:vAlign w:val="center"/>
          </w:tcPr>
          <w:p>
            <w:pPr>
              <w:jc w:val="center"/>
              <w:rPr>
                <w:rFonts w:hint="eastAsia" w:eastAsiaTheme="minorEastAsia"/>
                <w:lang w:val="en-US" w:eastAsia="zh-CN"/>
              </w:rPr>
            </w:pPr>
            <w:r>
              <w:rPr>
                <w:rFonts w:hint="eastAsia"/>
                <w:lang w:val="en-US" w:eastAsia="zh-CN"/>
              </w:rPr>
              <w:t>4</w:t>
            </w:r>
          </w:p>
        </w:tc>
        <w:tc>
          <w:tcPr>
            <w:tcW w:w="708" w:type="dxa"/>
            <w:vAlign w:val="center"/>
          </w:tcPr>
          <w:p>
            <w:pPr>
              <w:jc w:val="center"/>
            </w:pPr>
            <w:r>
              <w:rPr>
                <w:rFonts w:hint="eastAsia"/>
              </w:rPr>
              <w:t>(鲁宁汶) 应急罚〔2025〕25号</w:t>
            </w:r>
          </w:p>
        </w:tc>
        <w:tc>
          <w:tcPr>
            <w:tcW w:w="1134" w:type="dxa"/>
            <w:vAlign w:val="center"/>
          </w:tcPr>
          <w:p>
            <w:pPr>
              <w:jc w:val="center"/>
            </w:pPr>
            <w:r>
              <w:rPr>
                <w:rFonts w:hint="eastAsia"/>
              </w:rPr>
              <w:t>山东汶峰新材料科技有限公司未建立并执行特殊作业安全管理制度案</w:t>
            </w:r>
          </w:p>
        </w:tc>
        <w:tc>
          <w:tcPr>
            <w:tcW w:w="851" w:type="dxa"/>
            <w:vAlign w:val="center"/>
          </w:tcPr>
          <w:p>
            <w:pPr>
              <w:jc w:val="center"/>
            </w:pPr>
            <w:r>
              <w:rPr>
                <w:rFonts w:hint="eastAsia"/>
              </w:rPr>
              <w:t>未建立并执行特殊作业安全管理制度</w:t>
            </w:r>
          </w:p>
        </w:tc>
        <w:tc>
          <w:tcPr>
            <w:tcW w:w="709" w:type="dxa"/>
            <w:vAlign w:val="center"/>
          </w:tcPr>
          <w:p>
            <w:pPr>
              <w:jc w:val="center"/>
            </w:pPr>
            <w:r>
              <w:t>罚款</w:t>
            </w:r>
          </w:p>
        </w:tc>
        <w:tc>
          <w:tcPr>
            <w:tcW w:w="2551" w:type="dxa"/>
            <w:vAlign w:val="center"/>
          </w:tcPr>
          <w:p>
            <w:pPr>
              <w:jc w:val="center"/>
            </w:pPr>
            <w:r>
              <w:rPr>
                <w:rFonts w:hint="eastAsia"/>
              </w:rPr>
              <w:t>《山东省危险化学品安全管理办法》第四十二条第四项：“危险化学品生产、储存和使用单位违反本办法，有下列情形之一的，由安全生产监督管理部门责令改正，处以1万元以上3万元以下的罚款；构成犯罪的，依法追究刑事责任：（四）未建立并执行检维修和动火、有限空间等特殊作业安全管理制度的。”，结合《山东省应急管理行政处罚自由裁量基准》（裁量细则） 第198号第A档</w:t>
            </w:r>
          </w:p>
        </w:tc>
        <w:tc>
          <w:tcPr>
            <w:tcW w:w="709" w:type="dxa"/>
            <w:vAlign w:val="center"/>
          </w:tcPr>
          <w:p>
            <w:pPr>
              <w:jc w:val="center"/>
            </w:pPr>
            <w:r>
              <w:rPr>
                <w:rFonts w:hint="eastAsia"/>
              </w:rPr>
              <w:t>山东汶峰新材料科技有限公司</w:t>
            </w:r>
          </w:p>
        </w:tc>
        <w:tc>
          <w:tcPr>
            <w:tcW w:w="741" w:type="dxa"/>
            <w:vAlign w:val="center"/>
          </w:tcPr>
          <w:p>
            <w:pPr>
              <w:jc w:val="center"/>
            </w:pPr>
            <w:r>
              <w:rPr>
                <w:rFonts w:hint="eastAsia"/>
              </w:rPr>
              <w:t>91370830MA3QPE5532</w:t>
            </w:r>
          </w:p>
        </w:tc>
        <w:tc>
          <w:tcPr>
            <w:tcW w:w="535" w:type="dxa"/>
            <w:vAlign w:val="center"/>
          </w:tcPr>
          <w:p>
            <w:pPr>
              <w:jc w:val="center"/>
              <w:rPr>
                <w:rFonts w:hint="eastAsia"/>
                <w:lang w:val="en-US" w:eastAsia="zh-CN"/>
              </w:rPr>
            </w:pPr>
            <w:r>
              <w:rPr>
                <w:rFonts w:hint="eastAsia"/>
                <w:lang w:val="en-US" w:eastAsia="zh-CN"/>
              </w:rPr>
              <w:t>徐</w:t>
            </w:r>
          </w:p>
          <w:p>
            <w:pPr>
              <w:jc w:val="center"/>
              <w:rPr>
                <w:rFonts w:hint="eastAsia" w:eastAsiaTheme="minorEastAsia"/>
                <w:lang w:val="en-US" w:eastAsia="zh-CN"/>
              </w:rPr>
            </w:pPr>
            <w:r>
              <w:rPr>
                <w:rFonts w:hint="eastAsia"/>
                <w:lang w:val="en-US" w:eastAsia="zh-CN"/>
              </w:rPr>
              <w:t>*</w:t>
            </w:r>
          </w:p>
        </w:tc>
        <w:tc>
          <w:tcPr>
            <w:tcW w:w="1134" w:type="dxa"/>
            <w:vAlign w:val="center"/>
          </w:tcPr>
          <w:p>
            <w:pPr>
              <w:jc w:val="center"/>
            </w:pPr>
            <w:r>
              <w:rPr>
                <w:rFonts w:hint="eastAsia"/>
              </w:rPr>
              <w:t>罚款人民币壹万</w:t>
            </w:r>
            <w:r>
              <w:rPr>
                <w:rFonts w:hint="eastAsia"/>
                <w:lang w:val="en-US" w:eastAsia="zh-CN"/>
              </w:rPr>
              <w:t>壹仟</w:t>
            </w:r>
            <w:r>
              <w:rPr>
                <w:rFonts w:hint="eastAsia"/>
              </w:rPr>
              <w:t>元（￥1</w:t>
            </w:r>
            <w:r>
              <w:rPr>
                <w:rFonts w:hint="eastAsia"/>
                <w:lang w:val="en-US" w:eastAsia="zh-CN"/>
              </w:rPr>
              <w:t>1</w:t>
            </w:r>
            <w:r>
              <w:rPr>
                <w:rFonts w:hint="eastAsia"/>
              </w:rPr>
              <w:t>000）整</w:t>
            </w:r>
          </w:p>
        </w:tc>
        <w:tc>
          <w:tcPr>
            <w:tcW w:w="992" w:type="dxa"/>
            <w:vAlign w:val="center"/>
          </w:tcPr>
          <w:p>
            <w:pPr>
              <w:jc w:val="center"/>
            </w:pPr>
            <w:r>
              <w:rPr>
                <w:rFonts w:hint="eastAsia"/>
              </w:rPr>
              <w:t>2025年</w:t>
            </w:r>
            <w:r>
              <w:rPr>
                <w:rFonts w:hint="eastAsia"/>
                <w:lang w:val="en-US" w:eastAsia="zh-CN"/>
              </w:rPr>
              <w:t>6</w:t>
            </w:r>
            <w:r>
              <w:rPr>
                <w:rFonts w:hint="eastAsia"/>
              </w:rPr>
              <w:t>月</w:t>
            </w:r>
            <w:r>
              <w:rPr>
                <w:rFonts w:hint="eastAsia"/>
                <w:lang w:val="en-US" w:eastAsia="zh-CN"/>
              </w:rPr>
              <w:t>23</w:t>
            </w:r>
            <w:r>
              <w:rPr>
                <w:rFonts w:hint="eastAsia"/>
              </w:rPr>
              <w:t>日</w:t>
            </w:r>
          </w:p>
        </w:tc>
        <w:tc>
          <w:tcPr>
            <w:tcW w:w="425" w:type="dxa"/>
            <w:vAlign w:val="center"/>
          </w:tcPr>
          <w:p>
            <w:pPr>
              <w:jc w:val="center"/>
            </w:pPr>
            <w:r>
              <w:rPr>
                <w:rFonts w:hint="eastAsia"/>
              </w:rPr>
              <w:t>处罚完毕</w:t>
            </w:r>
          </w:p>
        </w:tc>
        <w:tc>
          <w:tcPr>
            <w:tcW w:w="1843" w:type="dxa"/>
            <w:vAlign w:val="center"/>
          </w:tcPr>
          <w:p>
            <w:pPr>
              <w:jc w:val="center"/>
            </w:pPr>
            <w:r>
              <w:rPr>
                <w:rFonts w:hint="eastAsia"/>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vAlign w:val="center"/>
          </w:tcPr>
          <w:p>
            <w:pPr>
              <w:jc w:val="center"/>
            </w:pPr>
            <w:r>
              <w:rPr>
                <w:rFonts w:hint="eastAsia"/>
              </w:rPr>
              <w:t>汶上县应急管理局</w:t>
            </w:r>
          </w:p>
        </w:tc>
      </w:tr>
    </w:tbl>
    <w:p>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95"/>
    <w:rsid w:val="00007F57"/>
    <w:rsid w:val="000158D1"/>
    <w:rsid w:val="000B6721"/>
    <w:rsid w:val="000C06D0"/>
    <w:rsid w:val="00130311"/>
    <w:rsid w:val="001D1EBC"/>
    <w:rsid w:val="001E452C"/>
    <w:rsid w:val="00295ED2"/>
    <w:rsid w:val="002B450E"/>
    <w:rsid w:val="002C2500"/>
    <w:rsid w:val="003852A8"/>
    <w:rsid w:val="003979EA"/>
    <w:rsid w:val="003C6440"/>
    <w:rsid w:val="004878F0"/>
    <w:rsid w:val="00493295"/>
    <w:rsid w:val="004E2AB7"/>
    <w:rsid w:val="005C653E"/>
    <w:rsid w:val="005E195D"/>
    <w:rsid w:val="005F3024"/>
    <w:rsid w:val="005F32D8"/>
    <w:rsid w:val="005F5AF9"/>
    <w:rsid w:val="00611BF2"/>
    <w:rsid w:val="00617D64"/>
    <w:rsid w:val="0067026A"/>
    <w:rsid w:val="006C22D4"/>
    <w:rsid w:val="00721B33"/>
    <w:rsid w:val="007936AF"/>
    <w:rsid w:val="008276A7"/>
    <w:rsid w:val="0093388B"/>
    <w:rsid w:val="009921CC"/>
    <w:rsid w:val="009B063D"/>
    <w:rsid w:val="009B41FD"/>
    <w:rsid w:val="009D1FF8"/>
    <w:rsid w:val="00A6562D"/>
    <w:rsid w:val="00BA2DD3"/>
    <w:rsid w:val="00C531B6"/>
    <w:rsid w:val="00C85A71"/>
    <w:rsid w:val="00C970D5"/>
    <w:rsid w:val="00CA151C"/>
    <w:rsid w:val="00CC5D6A"/>
    <w:rsid w:val="00CF2458"/>
    <w:rsid w:val="00D41C05"/>
    <w:rsid w:val="00D7502C"/>
    <w:rsid w:val="00DD03C2"/>
    <w:rsid w:val="00DE2718"/>
    <w:rsid w:val="00E17F83"/>
    <w:rsid w:val="00E22380"/>
    <w:rsid w:val="00E409E8"/>
    <w:rsid w:val="00E415FB"/>
    <w:rsid w:val="00E72EBF"/>
    <w:rsid w:val="00F854EE"/>
    <w:rsid w:val="00FA4A2D"/>
    <w:rsid w:val="00FF4550"/>
    <w:rsid w:val="04C22880"/>
    <w:rsid w:val="092C701D"/>
    <w:rsid w:val="108F3DD5"/>
    <w:rsid w:val="1CB6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1458</Words>
  <Characters>1569</Characters>
  <Lines>11</Lines>
  <Paragraphs>3</Paragraphs>
  <TotalTime>4</TotalTime>
  <ScaleCrop>false</ScaleCrop>
  <LinksUpToDate>false</LinksUpToDate>
  <CharactersWithSpaces>1656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2025-02-06T00:46:00Z</dcterms:created>
  <dc:creator>xb21cn</dc:creator>
  <cp:lastModifiedBy>Administrator</cp:lastModifiedBy>
  <dcterms:modified xsi:type="dcterms:W3CDTF">2025-06-30T07:00:57Z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eyJoZGlkIjoiYTE5Y2ZlMjk3NjU2ZjY4NWI1YmViMTIwYTY3OGY1YTciLCJ1c2VySWQiOiI0MDA3MTQ4MTIifQ==</vt:lpwstr>
  </property>
  <property fmtid="{D5CDD505-2E9C-101B-9397-08002B2CF9AE}" pid="3" name="KSOProductBuildVer">
    <vt:lpwstr>2052-11.8.2.10154</vt:lpwstr>
  </property>
  <property fmtid="{D5CDD505-2E9C-101B-9397-08002B2CF9AE}" pid="4" name="ICV">
    <vt:lpwstr>CE9598CF52934BEFA9F63BC6B1D69522_12</vt:lpwstr>
  </property>
</Properties>
</file>