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150" w:beforeAutospacing="0" w:afterAutospacing="0" w:line="640" w:lineRule="exact"/>
        <w:ind w:firstLine="42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333333"/>
          <w:sz w:val="44"/>
          <w:szCs w:val="44"/>
          <w:shd w:val="clear" w:color="auto" w:fill="FFFFFF"/>
        </w:rPr>
        <w:t>汶上县烟草制品零售点布局规定</w:t>
      </w:r>
    </w:p>
    <w:p>
      <w:pPr>
        <w:pStyle w:val="4"/>
        <w:widowControl/>
        <w:spacing w:before="150" w:beforeAutospacing="0" w:afterAutospacing="0" w:line="640" w:lineRule="exact"/>
        <w:ind w:firstLine="420"/>
        <w:jc w:val="center"/>
        <w:rPr>
          <w:rFonts w:ascii="方正小标宋简体" w:hAnsi="方正小标宋简体" w:eastAsia="方正小标宋简体" w:cs="方正小标宋简体"/>
          <w:color w:val="333333"/>
          <w:sz w:val="44"/>
          <w:szCs w:val="44"/>
          <w:shd w:val="clear" w:color="auto" w:fill="FFFFFF"/>
        </w:rPr>
      </w:pPr>
      <w:r>
        <w:rPr>
          <w:rFonts w:hint="eastAsia" w:ascii="方正小标宋简体" w:hAnsi="方正小标宋简体" w:eastAsia="方正小标宋简体" w:cs="方正小标宋简体"/>
          <w:color w:val="333333"/>
          <w:sz w:val="44"/>
          <w:szCs w:val="44"/>
          <w:shd w:val="clear" w:color="auto" w:fill="FFFFFF"/>
        </w:rPr>
        <w:t>（征求意见稿）</w:t>
      </w:r>
    </w:p>
    <w:p>
      <w:pPr>
        <w:adjustRightInd w:val="0"/>
        <w:snapToGrid w:val="0"/>
        <w:spacing w:line="360" w:lineRule="auto"/>
        <w:ind w:firstLine="642" w:firstLineChars="200"/>
        <w:rPr>
          <w:rFonts w:ascii="仿宋_GB2312" w:hAnsi="仿宋" w:eastAsia="仿宋_GB2312" w:cs="仿宋_GB2312"/>
          <w:b/>
          <w:bCs/>
          <w:sz w:val="32"/>
          <w:szCs w:val="32"/>
        </w:rPr>
      </w:pPr>
    </w:p>
    <w:p>
      <w:pPr>
        <w:adjustRightInd w:val="0"/>
        <w:snapToGrid w:val="0"/>
        <w:spacing w:line="360" w:lineRule="auto"/>
        <w:ind w:firstLine="640" w:firstLineChars="200"/>
        <w:rPr>
          <w:rFonts w:ascii="仿宋_GB2312" w:hAnsi="仿宋" w:eastAsia="仿宋_GB2312" w:cs="仿宋_GB2312"/>
          <w:sz w:val="32"/>
          <w:szCs w:val="32"/>
        </w:rPr>
      </w:pPr>
      <w:r>
        <w:rPr>
          <w:rFonts w:hint="eastAsia" w:ascii="黑体" w:hAnsi="黑体" w:eastAsia="黑体" w:cs="仿宋_GB2312"/>
          <w:sz w:val="32"/>
          <w:szCs w:val="32"/>
        </w:rPr>
        <w:t xml:space="preserve">第一条  </w:t>
      </w:r>
      <w:r>
        <w:rPr>
          <w:rFonts w:hint="eastAsia" w:ascii="仿宋_GB2312" w:hAnsi="仿宋" w:eastAsia="仿宋_GB2312" w:cs="仿宋_GB2312"/>
          <w:sz w:val="32"/>
          <w:szCs w:val="32"/>
        </w:rPr>
        <w:t>为维护国家利益和消费者利益，规范烟草制品零售市场经营秩序，进一步优化烟草制品零售点布局，加强烟草专卖零售许可证管理，依据《中华人民共和国烟草专卖法》《中华人民共和国行政许可法》《中华人民共和国未成年人保护法》《中华人民共和国烟草专卖法实施条例》《烟草专卖许可证管理办法》（工信部37号令）《烟草专卖许可证管理办法实施细则》（国烟法〔2020〕205号）及《完善烟草专卖零售许可管理优化政务服务工作指引》（</w:t>
      </w:r>
      <w:bookmarkStart w:id="0" w:name="fawenjiguandaizi"/>
      <w:r>
        <w:rPr>
          <w:rFonts w:hint="eastAsia" w:ascii="仿宋_GB2312" w:hAnsi="仿宋" w:eastAsia="仿宋_GB2312" w:cs="仿宋_GB2312"/>
          <w:sz w:val="32"/>
          <w:szCs w:val="32"/>
        </w:rPr>
        <w:t>国烟法</w:t>
      </w:r>
      <w:bookmarkEnd w:id="0"/>
      <w:r>
        <w:rPr>
          <w:rFonts w:hint="eastAsia" w:ascii="仿宋_GB2312" w:hAnsi="仿宋" w:eastAsia="仿宋_GB2312" w:cs="仿宋_GB2312"/>
          <w:sz w:val="32"/>
          <w:szCs w:val="32"/>
        </w:rPr>
        <w:t>〔</w:t>
      </w:r>
      <w:bookmarkStart w:id="1" w:name="nianfen"/>
      <w:r>
        <w:rPr>
          <w:rFonts w:hint="eastAsia" w:ascii="仿宋_GB2312" w:hAnsi="仿宋" w:eastAsia="仿宋_GB2312" w:cs="仿宋_GB2312"/>
          <w:sz w:val="32"/>
          <w:szCs w:val="32"/>
        </w:rPr>
        <w:t>202</w:t>
      </w:r>
      <w:bookmarkEnd w:id="1"/>
      <w:r>
        <w:rPr>
          <w:rFonts w:hint="eastAsia" w:ascii="仿宋_GB2312" w:hAnsi="仿宋" w:eastAsia="仿宋_GB2312" w:cs="仿宋_GB2312"/>
          <w:sz w:val="32"/>
          <w:szCs w:val="32"/>
        </w:rPr>
        <w:t>4〕</w:t>
      </w:r>
      <w:bookmarkStart w:id="2" w:name="fawenshunxuhao"/>
      <w:r>
        <w:rPr>
          <w:rFonts w:hint="eastAsia" w:ascii="仿宋_GB2312" w:hAnsi="仿宋" w:eastAsia="仿宋_GB2312" w:cs="仿宋_GB2312"/>
          <w:sz w:val="32"/>
          <w:szCs w:val="32"/>
        </w:rPr>
        <w:t>55</w:t>
      </w:r>
      <w:bookmarkEnd w:id="2"/>
      <w:r>
        <w:rPr>
          <w:rFonts w:hint="eastAsia" w:ascii="仿宋_GB2312" w:hAnsi="仿宋" w:eastAsia="仿宋_GB2312" w:cs="仿宋_GB2312"/>
          <w:sz w:val="32"/>
          <w:szCs w:val="32"/>
        </w:rPr>
        <w:t>号）等法律法规、规章和规范性文件，结合本</w:t>
      </w:r>
      <w:r>
        <w:rPr>
          <w:rFonts w:hint="eastAsia" w:ascii="仿宋_GB2312" w:hAnsi="仿宋" w:eastAsia="仿宋_GB2312" w:cs="仿宋_GB2312"/>
          <w:sz w:val="32"/>
          <w:szCs w:val="32"/>
          <w:lang w:eastAsia="zh-CN"/>
        </w:rPr>
        <w:t>县</w:t>
      </w:r>
      <w:r>
        <w:rPr>
          <w:rFonts w:hint="eastAsia" w:ascii="仿宋_GB2312" w:hAnsi="仿宋" w:eastAsia="仿宋_GB2312" w:cs="仿宋_GB2312"/>
          <w:sz w:val="32"/>
          <w:szCs w:val="32"/>
        </w:rPr>
        <w:t>实际，制定本规定。</w:t>
      </w:r>
    </w:p>
    <w:p>
      <w:pPr>
        <w:pStyle w:val="4"/>
        <w:widowControl/>
        <w:spacing w:beforeAutospacing="0" w:afterAutospacing="0" w:line="360" w:lineRule="auto"/>
        <w:ind w:firstLine="640" w:firstLineChars="200"/>
        <w:jc w:val="both"/>
        <w:rPr>
          <w:rFonts w:ascii="仿宋_GB2312" w:hAnsi="仿宋" w:eastAsia="仿宋_GB2312" w:cs="仿宋_GB2312"/>
          <w:kern w:val="2"/>
          <w:sz w:val="32"/>
          <w:szCs w:val="32"/>
        </w:rPr>
      </w:pPr>
      <w:r>
        <w:rPr>
          <w:rFonts w:hint="eastAsia" w:ascii="黑体" w:hAnsi="黑体" w:eastAsia="黑体" w:cs="仿宋_GB2312"/>
          <w:kern w:val="2"/>
          <w:sz w:val="32"/>
          <w:szCs w:val="32"/>
        </w:rPr>
        <w:t>第二条</w:t>
      </w:r>
      <w:r>
        <w:rPr>
          <w:rFonts w:hint="eastAsia" w:ascii="仿宋_GB2312" w:hAnsi="仿宋" w:eastAsia="仿宋_GB2312" w:cs="仿宋_GB2312"/>
          <w:b/>
          <w:bCs/>
          <w:kern w:val="2"/>
          <w:sz w:val="32"/>
          <w:szCs w:val="32"/>
        </w:rPr>
        <w:t xml:space="preserve">  </w:t>
      </w:r>
      <w:r>
        <w:rPr>
          <w:rFonts w:hint="eastAsia" w:ascii="仿宋_GB2312" w:hAnsi="仿宋" w:eastAsia="仿宋_GB2312" w:cs="仿宋_GB2312"/>
          <w:kern w:val="2"/>
          <w:sz w:val="32"/>
          <w:szCs w:val="32"/>
        </w:rPr>
        <w:t>本规定所称烟草制品零售点（以下称零售点）是指依法取得烟草专卖零售许可证的公民、法人及其他组织从事烟草制品零售业务的与住所相独立的固定经营场所。</w:t>
      </w:r>
    </w:p>
    <w:p>
      <w:pPr>
        <w:pStyle w:val="4"/>
        <w:widowControl/>
        <w:spacing w:beforeAutospacing="0" w:afterAutospacing="0" w:line="360" w:lineRule="auto"/>
        <w:ind w:firstLine="420"/>
        <w:jc w:val="both"/>
        <w:rPr>
          <w:rFonts w:ascii="仿宋_GB2312" w:hAnsi="仿宋" w:eastAsia="仿宋_GB2312" w:cs="仿宋_GB2312"/>
          <w:kern w:val="2"/>
          <w:sz w:val="32"/>
          <w:szCs w:val="32"/>
        </w:rPr>
      </w:pPr>
      <w:r>
        <w:rPr>
          <w:rFonts w:hint="eastAsia" w:ascii="仿宋_GB2312" w:hAnsi="仿宋" w:eastAsia="仿宋_GB2312" w:cs="仿宋_GB2312"/>
          <w:kern w:val="2"/>
          <w:sz w:val="32"/>
          <w:szCs w:val="32"/>
        </w:rPr>
        <w:t>零售点经营场所地址应当具体明确，具有唯一性，与营业执照登记地址相符。</w:t>
      </w:r>
    </w:p>
    <w:p>
      <w:pPr>
        <w:pStyle w:val="4"/>
        <w:widowControl/>
        <w:spacing w:beforeAutospacing="0" w:afterAutospacing="0" w:line="360" w:lineRule="auto"/>
        <w:ind w:firstLine="640" w:firstLineChars="200"/>
        <w:jc w:val="both"/>
        <w:rPr>
          <w:rFonts w:ascii="仿宋_GB2312" w:hAnsi="仿宋" w:eastAsia="仿宋_GB2312" w:cs="仿宋_GB2312"/>
          <w:kern w:val="2"/>
          <w:sz w:val="32"/>
          <w:szCs w:val="32"/>
        </w:rPr>
      </w:pPr>
      <w:r>
        <w:rPr>
          <w:rFonts w:hint="eastAsia" w:ascii="黑体" w:hAnsi="黑体" w:eastAsia="黑体" w:cs="仿宋_GB2312"/>
          <w:kern w:val="2"/>
          <w:sz w:val="32"/>
          <w:szCs w:val="32"/>
        </w:rPr>
        <w:t>第三条</w:t>
      </w:r>
      <w:r>
        <w:rPr>
          <w:rFonts w:hint="eastAsia" w:ascii="仿宋_GB2312" w:hAnsi="仿宋" w:eastAsia="仿宋_GB2312" w:cs="仿宋_GB2312"/>
          <w:b/>
          <w:bCs/>
          <w:kern w:val="2"/>
          <w:sz w:val="32"/>
          <w:szCs w:val="32"/>
        </w:rPr>
        <w:t xml:space="preserve">  </w:t>
      </w:r>
      <w:r>
        <w:rPr>
          <w:rFonts w:hint="eastAsia" w:ascii="仿宋_GB2312" w:hAnsi="仿宋" w:eastAsia="仿宋_GB2312" w:cs="仿宋_GB2312"/>
          <w:kern w:val="2"/>
          <w:sz w:val="32"/>
          <w:szCs w:val="32"/>
        </w:rPr>
        <w:t>本规定适用于汶上县烟草专卖局管辖区域内烟草制品（不含电子烟、雪茄烟）零售点的布局管理。</w:t>
      </w:r>
    </w:p>
    <w:p>
      <w:pPr>
        <w:pStyle w:val="4"/>
        <w:widowControl/>
        <w:spacing w:beforeAutospacing="0" w:afterAutospacing="0" w:line="360" w:lineRule="auto"/>
        <w:ind w:firstLine="640" w:firstLineChars="200"/>
        <w:jc w:val="both"/>
        <w:rPr>
          <w:rFonts w:ascii="仿宋_GB2312" w:hAnsi="仿宋" w:eastAsia="仿宋_GB2312" w:cs="仿宋_GB2312"/>
          <w:kern w:val="2"/>
          <w:sz w:val="32"/>
          <w:szCs w:val="32"/>
        </w:rPr>
      </w:pPr>
      <w:r>
        <w:rPr>
          <w:rFonts w:hint="eastAsia" w:ascii="黑体" w:hAnsi="黑体" w:eastAsia="黑体" w:cs="仿宋_GB2312"/>
          <w:kern w:val="2"/>
          <w:sz w:val="32"/>
          <w:szCs w:val="32"/>
        </w:rPr>
        <w:t>第四条</w:t>
      </w:r>
      <w:r>
        <w:rPr>
          <w:rFonts w:hint="eastAsia" w:ascii="仿宋_GB2312" w:hAnsi="仿宋" w:eastAsia="仿宋_GB2312" w:cs="仿宋_GB2312"/>
          <w:b/>
          <w:bCs/>
          <w:kern w:val="2"/>
          <w:sz w:val="32"/>
          <w:szCs w:val="32"/>
        </w:rPr>
        <w:t xml:space="preserve">  </w:t>
      </w:r>
      <w:r>
        <w:rPr>
          <w:rFonts w:hint="eastAsia" w:ascii="仿宋_GB2312" w:hAnsi="仿宋" w:eastAsia="仿宋_GB2312" w:cs="仿宋_GB2312"/>
          <w:kern w:val="2"/>
          <w:sz w:val="32"/>
          <w:szCs w:val="32"/>
        </w:rPr>
        <w:t>零售点布局管理遵循依法行政、科学规划、服务社会、均衡发展、未成年人保护、控烟履约、信赖保护的原则。</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黑体" w:hAnsi="黑体" w:eastAsia="黑体" w:cs="仿宋_GB2312"/>
          <w:sz w:val="32"/>
          <w:szCs w:val="32"/>
        </w:rPr>
        <w:t>第五条</w:t>
      </w:r>
      <w:r>
        <w:rPr>
          <w:rFonts w:hint="eastAsia" w:ascii="仿宋_GB2312" w:hAnsi="仿宋" w:eastAsia="仿宋_GB2312" w:cs="仿宋_GB2312"/>
          <w:b/>
          <w:bCs/>
          <w:sz w:val="32"/>
          <w:szCs w:val="32"/>
        </w:rPr>
        <w:t xml:space="preserve">  </w:t>
      </w:r>
      <w:r>
        <w:rPr>
          <w:rFonts w:hint="eastAsia" w:ascii="仿宋_GB2312" w:hAnsi="仿宋" w:eastAsia="仿宋_GB2312" w:cs="仿宋_GB2312"/>
          <w:sz w:val="32"/>
          <w:szCs w:val="32"/>
        </w:rPr>
        <w:t>同一个经营场所已经办理了烟草专卖零售许可证的，在许可证有效期内不再审批发放其他烟草专卖零售许可证。</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连锁经营企业在申请烟草专卖零售许可证时，应当由各个分店分别提出申请。</w:t>
      </w:r>
    </w:p>
    <w:p>
      <w:pPr>
        <w:pStyle w:val="3"/>
        <w:widowControl/>
        <w:spacing w:line="360" w:lineRule="auto"/>
        <w:ind w:firstLine="640"/>
        <w:jc w:val="both"/>
        <w:rPr>
          <w:rFonts w:hint="default" w:eastAsia="仿宋_GB2312"/>
        </w:rPr>
      </w:pPr>
      <w:r>
        <w:rPr>
          <w:rFonts w:ascii="黑体" w:hAnsi="黑体" w:eastAsia="黑体" w:cs="仿宋_GB2312"/>
          <w:kern w:val="2"/>
          <w:sz w:val="32"/>
          <w:szCs w:val="32"/>
        </w:rPr>
        <w:t>第六条</w:t>
      </w:r>
      <w:r>
        <w:rPr>
          <w:rFonts w:ascii="仿宋_GB2312" w:hAnsi="仿宋" w:eastAsia="仿宋_GB2312" w:cs="仿宋_GB2312"/>
          <w:b/>
          <w:bCs/>
          <w:sz w:val="32"/>
          <w:szCs w:val="32"/>
        </w:rPr>
        <w:t xml:space="preserve">  </w:t>
      </w:r>
      <w:r>
        <w:rPr>
          <w:rFonts w:ascii="仿宋_GB2312" w:hAnsi="仿宋" w:eastAsia="仿宋_GB2312" w:cs="仿宋_GB2312"/>
          <w:sz w:val="32"/>
          <w:szCs w:val="32"/>
        </w:rPr>
        <w:t>零售点布局管理按照行政区划，以街道、乡镇为界限确定基本市场单元（包括镇域市场单元和特殊市场单元），并对外公示，</w:t>
      </w:r>
      <w:r>
        <w:rPr>
          <w:rFonts w:ascii="仿宋_GB2312" w:eastAsia="仿宋_GB2312" w:cs="仿宋_GB2312"/>
          <w:sz w:val="31"/>
          <w:szCs w:val="31"/>
        </w:rPr>
        <w:t>作为零售点布局管理和轮候排序的依据。</w:t>
      </w:r>
    </w:p>
    <w:p>
      <w:pPr>
        <w:overflowPunct w:val="0"/>
        <w:spacing w:line="360" w:lineRule="auto"/>
        <w:ind w:firstLine="640" w:firstLineChars="200"/>
        <w:rPr>
          <w:rFonts w:ascii="仿宋_GB2312" w:hAnsi="仿宋" w:eastAsia="仿宋_GB2312" w:cs="仿宋_GB2312"/>
          <w:kern w:val="0"/>
          <w:sz w:val="32"/>
          <w:szCs w:val="32"/>
          <w:lang w:bidi="ar"/>
        </w:rPr>
      </w:pPr>
      <w:r>
        <w:rPr>
          <w:rFonts w:hint="eastAsia" w:ascii="仿宋_GB2312" w:hAnsi="仿宋" w:eastAsia="仿宋_GB2312" w:cs="仿宋_GB2312"/>
          <w:kern w:val="0"/>
          <w:sz w:val="32"/>
          <w:szCs w:val="32"/>
          <w:lang w:bidi="ar"/>
        </w:rPr>
        <w:t>镇域市场单元以街道、乡镇为界限，综合分析市场单元内经济发展水平、人口数量、消费能力、历史零售点数量、烟草制品经营数据等相关性指标，合理设定零售点规划数量。</w:t>
      </w:r>
    </w:p>
    <w:p>
      <w:pPr>
        <w:adjustRightInd w:val="0"/>
        <w:snapToGrid w:val="0"/>
        <w:spacing w:line="360" w:lineRule="auto"/>
        <w:ind w:firstLine="640" w:firstLineChars="200"/>
        <w:rPr>
          <w:rFonts w:ascii="仿宋_GB2312" w:hAnsi="仿宋" w:eastAsia="仿宋_GB2312" w:cs="仿宋_GB2312"/>
          <w:kern w:val="0"/>
          <w:sz w:val="32"/>
          <w:szCs w:val="32"/>
          <w:lang w:bidi="ar"/>
        </w:rPr>
      </w:pPr>
      <w:r>
        <w:rPr>
          <w:rFonts w:hint="eastAsia" w:ascii="仿宋_GB2312" w:hAnsi="仿宋" w:eastAsia="仿宋_GB2312" w:cs="仿宋_GB2312"/>
          <w:kern w:val="0"/>
          <w:sz w:val="32"/>
          <w:szCs w:val="32"/>
          <w:lang w:bidi="ar"/>
        </w:rPr>
        <w:t>特殊市场单元是指具备独特市场生态、特定消费人群或特殊政策要求的独立区域。主要包括：大型商业综合体、产业工业园区、国家级或省级旅游景区、铁路车站、长途汽车站、民用机场、客运码头、高速公路服务区等。此类单元继续实行单独划定、单独管理，不纳入其所在镇域单元容量合并计算。</w:t>
      </w:r>
    </w:p>
    <w:p>
      <w:pPr>
        <w:pStyle w:val="3"/>
        <w:widowControl/>
        <w:spacing w:line="360" w:lineRule="auto"/>
        <w:ind w:firstLine="640" w:firstLineChars="200"/>
        <w:jc w:val="both"/>
        <w:rPr>
          <w:rFonts w:hint="default" w:ascii="仿宋_GB2312" w:eastAsia="仿宋_GB2312" w:cs="仿宋_GB2312"/>
          <w:sz w:val="31"/>
          <w:szCs w:val="31"/>
        </w:rPr>
      </w:pPr>
      <w:r>
        <w:rPr>
          <w:rFonts w:ascii="黑体" w:hAnsi="黑体" w:eastAsia="黑体" w:cs="仿宋_GB2312"/>
          <w:kern w:val="2"/>
          <w:sz w:val="32"/>
          <w:szCs w:val="32"/>
        </w:rPr>
        <w:t>第七条</w:t>
      </w:r>
      <w:r>
        <w:rPr>
          <w:rFonts w:ascii="仿宋_GB2312" w:hAnsi="仿宋" w:eastAsia="仿宋_GB2312" w:cs="仿宋_GB2312"/>
          <w:b/>
          <w:bCs/>
          <w:sz w:val="32"/>
          <w:szCs w:val="32"/>
        </w:rPr>
        <w:t xml:space="preserve">  </w:t>
      </w:r>
      <w:r>
        <w:rPr>
          <w:rFonts w:ascii="仿宋_GB2312" w:hAnsi="仿宋" w:eastAsia="仿宋_GB2312" w:cs="仿宋_GB2312"/>
          <w:sz w:val="32"/>
          <w:szCs w:val="32"/>
        </w:rPr>
        <w:t>按照辖区基本市场单元持证数量及轮候排序数量与基本市场单元规划容量的关系，将辖区基本市场单元划分为发展区、平衡区和冻结区，</w:t>
      </w:r>
      <w:r>
        <w:rPr>
          <w:rFonts w:ascii="仿宋_GB2312" w:eastAsia="仿宋_GB2312" w:cs="仿宋_GB2312"/>
          <w:sz w:val="31"/>
          <w:szCs w:val="31"/>
        </w:rPr>
        <w:t>分类实施相应划分标准和实施策略。</w:t>
      </w:r>
    </w:p>
    <w:p>
      <w:pPr>
        <w:pStyle w:val="3"/>
        <w:widowControl/>
        <w:spacing w:line="360" w:lineRule="auto"/>
        <w:ind w:firstLine="620" w:firstLineChars="200"/>
        <w:jc w:val="both"/>
        <w:rPr>
          <w:rFonts w:hint="default" w:ascii="仿宋_GB2312" w:eastAsia="仿宋_GB2312" w:cs="仿宋_GB2312"/>
          <w:sz w:val="31"/>
          <w:szCs w:val="31"/>
        </w:rPr>
      </w:pPr>
      <w:r>
        <w:rPr>
          <w:rFonts w:ascii="仿宋_GB2312" w:eastAsia="仿宋_GB2312" w:cs="仿宋_GB2312"/>
          <w:sz w:val="31"/>
          <w:szCs w:val="31"/>
        </w:rPr>
        <w:t>（1）发展区。基本市场单元容量未饱和的，对新办申请按照新办流程办理，不再进行轮候排序登记。</w:t>
      </w:r>
    </w:p>
    <w:p>
      <w:pPr>
        <w:pStyle w:val="3"/>
        <w:widowControl/>
        <w:spacing w:line="360" w:lineRule="auto"/>
        <w:ind w:firstLine="620" w:firstLineChars="200"/>
        <w:jc w:val="both"/>
        <w:rPr>
          <w:rFonts w:hint="default" w:ascii="仿宋_GB2312" w:eastAsia="仿宋_GB2312" w:cs="仿宋_GB2312"/>
          <w:sz w:val="31"/>
          <w:szCs w:val="31"/>
        </w:rPr>
      </w:pPr>
      <w:r>
        <w:rPr>
          <w:rFonts w:ascii="仿宋_GB2312" w:eastAsia="仿宋_GB2312" w:cs="仿宋_GB2312"/>
          <w:sz w:val="31"/>
          <w:szCs w:val="31"/>
        </w:rPr>
        <w:t>（2）平衡区。基本市场单元容量已饱和，且轮候排序数量不超过市场单元容量3%时，对新办申请按照流程受理并开展实地核查，作出不予许可决定。对仅因容量限制无法准予许可的，根据申请人意愿，决定是否予以轮候排序登记。</w:t>
      </w:r>
    </w:p>
    <w:p>
      <w:pPr>
        <w:pStyle w:val="3"/>
        <w:widowControl/>
        <w:spacing w:line="360" w:lineRule="auto"/>
        <w:ind w:firstLine="620" w:firstLineChars="200"/>
        <w:jc w:val="both"/>
        <w:rPr>
          <w:rFonts w:hint="default" w:ascii="仿宋_GB2312" w:eastAsia="仿宋_GB2312" w:cs="仿宋_GB2312"/>
          <w:sz w:val="31"/>
          <w:szCs w:val="31"/>
        </w:rPr>
      </w:pPr>
      <w:r>
        <w:rPr>
          <w:rFonts w:ascii="仿宋_GB2312" w:eastAsia="仿宋_GB2312" w:cs="仿宋_GB2312"/>
          <w:sz w:val="31"/>
          <w:szCs w:val="31"/>
        </w:rPr>
        <w:t>（3）冻结区。基本市场单元容量已饱和，且轮候排序数量超过该基本市场单元容量</w:t>
      </w:r>
      <w:r>
        <w:rPr>
          <w:rFonts w:hint="default" w:ascii="仿宋_GB2312" w:eastAsia="仿宋_GB2312" w:cs="仿宋_GB2312"/>
          <w:sz w:val="31"/>
          <w:szCs w:val="31"/>
        </w:rPr>
        <w:t>3%</w:t>
      </w:r>
      <w:r>
        <w:rPr>
          <w:rFonts w:ascii="仿宋_GB2312" w:eastAsia="仿宋_GB2312" w:cs="仿宋_GB2312"/>
          <w:sz w:val="31"/>
          <w:szCs w:val="31"/>
        </w:rPr>
        <w:t>时，对新办申请按照流程受理，作出不予许可决定，不再新增轮候排序登记。</w:t>
      </w:r>
    </w:p>
    <w:p>
      <w:pPr>
        <w:pStyle w:val="3"/>
        <w:widowControl/>
        <w:spacing w:line="360" w:lineRule="auto"/>
        <w:ind w:firstLine="620" w:firstLineChars="200"/>
        <w:jc w:val="both"/>
        <w:rPr>
          <w:rFonts w:hint="default" w:ascii="仿宋_GB2312" w:eastAsia="仿宋_GB2312" w:cs="仿宋_GB2312"/>
          <w:sz w:val="31"/>
          <w:szCs w:val="31"/>
        </w:rPr>
      </w:pPr>
      <w:r>
        <w:rPr>
          <w:rFonts w:ascii="仿宋_GB2312" w:eastAsia="仿宋_GB2312" w:cs="仿宋_GB2312"/>
          <w:sz w:val="31"/>
          <w:szCs w:val="31"/>
        </w:rPr>
        <w:t>特殊市场单元轮候排序数量按照其容量的3%测算，不足 2个的，给予 2个轮候指标。</w:t>
      </w:r>
    </w:p>
    <w:p>
      <w:pPr>
        <w:pStyle w:val="3"/>
        <w:widowControl/>
        <w:spacing w:line="360" w:lineRule="auto"/>
        <w:ind w:firstLine="640" w:firstLineChars="200"/>
        <w:jc w:val="both"/>
        <w:rPr>
          <w:rFonts w:hint="default" w:ascii="仿宋_GB2312" w:hAnsi="仿宋" w:eastAsia="仿宋_GB2312" w:cs="仿宋_GB2312"/>
          <w:sz w:val="32"/>
          <w:szCs w:val="32"/>
        </w:rPr>
      </w:pPr>
      <w:r>
        <w:rPr>
          <w:rFonts w:ascii="黑体" w:hAnsi="黑体" w:eastAsia="黑体" w:cs="仿宋_GB2312"/>
          <w:kern w:val="2"/>
          <w:sz w:val="32"/>
          <w:szCs w:val="32"/>
        </w:rPr>
        <w:t>第八条</w:t>
      </w:r>
      <w:r>
        <w:rPr>
          <w:rFonts w:ascii="仿宋_GB2312" w:hAnsi="仿宋" w:eastAsia="仿宋_GB2312" w:cs="仿宋_GB2312"/>
          <w:b/>
          <w:bCs/>
          <w:sz w:val="32"/>
          <w:szCs w:val="32"/>
        </w:rPr>
        <w:t xml:space="preserve">  </w:t>
      </w:r>
      <w:r>
        <w:rPr>
          <w:rFonts w:ascii="仿宋_GB2312" w:hAnsi="仿宋" w:eastAsia="仿宋_GB2312" w:cs="仿宋_GB2312"/>
          <w:sz w:val="32"/>
          <w:szCs w:val="32"/>
        </w:rPr>
        <w:t>汶上县烟草专卖局应当在基本市场单元规划容量内审批零售点。当市场单元容量因退出、注销等出现空余时，根据“退一进一”的原则,按照轮候排序顺序，依次通知排序队列中的申请人提交新办申请，进入审批流程。</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烟草专卖局按照预留联系方式3个工作日以内无法联系到申请人或者通知联系人后3个工作日以内未提交申请材料的，视为放弃本次申请。</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放弃本次申请或经核查不符合办证条件的，</w:t>
      </w:r>
      <w:r>
        <w:rPr>
          <w:rFonts w:hint="eastAsia" w:ascii="仿宋_GB2312" w:hAnsi="仿宋" w:eastAsia="仿宋_GB2312" w:cs="仿宋_GB2312"/>
          <w:sz w:val="32"/>
          <w:szCs w:val="32"/>
        </w:rPr>
        <w:t>从轮候排序队列中清除并告知本人,</w:t>
      </w:r>
      <w:r>
        <w:rPr>
          <w:rFonts w:hint="eastAsia" w:ascii="仿宋_GB2312" w:hAnsi="黑体" w:eastAsia="仿宋_GB2312" w:cs="黑体"/>
          <w:sz w:val="32"/>
          <w:szCs w:val="32"/>
        </w:rPr>
        <w:t>按照轮候顺序通知下一个轮候申请人提交申请材料。</w:t>
      </w:r>
    </w:p>
    <w:p>
      <w:pPr>
        <w:spacing w:line="360" w:lineRule="auto"/>
        <w:ind w:firstLine="640" w:firstLineChars="200"/>
        <w:rPr>
          <w:rFonts w:hint="eastAsia" w:ascii="仿宋_GB2312" w:hAnsi="黑体" w:eastAsia="仿宋_GB2312" w:cs="黑体"/>
          <w:color w:val="FF0000"/>
          <w:sz w:val="32"/>
          <w:szCs w:val="32"/>
        </w:rPr>
      </w:pPr>
      <w:r>
        <w:rPr>
          <w:rFonts w:ascii="仿宋_GB2312" w:hAnsi="黑体" w:eastAsia="仿宋_GB2312" w:cs="黑体"/>
          <w:color w:val="FF0000"/>
          <w:sz w:val="32"/>
          <w:szCs w:val="32"/>
        </w:rPr>
        <w:t>轮候申请与实际申请应当保持申请人、经营地址、营业执照一致，</w:t>
      </w:r>
      <w:r>
        <w:rPr>
          <w:rFonts w:hint="eastAsia" w:ascii="仿宋_GB2312" w:hAnsi="黑体" w:eastAsia="仿宋_GB2312" w:cs="黑体"/>
          <w:color w:val="FF0000"/>
          <w:sz w:val="32"/>
          <w:szCs w:val="32"/>
        </w:rPr>
        <w:t>轮候顺序不得调换或转让。</w:t>
      </w:r>
    </w:p>
    <w:p>
      <w:pPr>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第九条</w:t>
      </w:r>
      <w:r>
        <w:rPr>
          <w:rFonts w:hint="eastAsia" w:ascii="仿宋_GB2312" w:hAnsi="仿宋_GB2312" w:eastAsia="仿宋_GB2312" w:cs="仿宋_GB2312"/>
          <w:b/>
          <w:bCs/>
          <w:sz w:val="32"/>
          <w:szCs w:val="32"/>
        </w:rPr>
        <w:t xml:space="preserve">  </w:t>
      </w:r>
      <w:r>
        <w:rPr>
          <w:rFonts w:hint="eastAsia" w:ascii="仿宋_GB2312" w:hAnsi="黑体" w:eastAsia="仿宋_GB2312" w:cs="黑体"/>
          <w:sz w:val="32"/>
          <w:szCs w:val="32"/>
        </w:rPr>
        <w:t>对市场单元零售点综合运用总量调控、间距控制、人口测控、峰值控制、限制准入等布局模式。</w:t>
      </w:r>
    </w:p>
    <w:p>
      <w:pPr>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第十条</w:t>
      </w:r>
      <w:r>
        <w:rPr>
          <w:rFonts w:hint="eastAsia" w:ascii="仿宋_GB2312" w:hAnsi="仿宋_GB2312" w:eastAsia="仿宋_GB2312" w:cs="仿宋_GB2312"/>
          <w:b/>
          <w:bCs/>
          <w:sz w:val="32"/>
          <w:szCs w:val="32"/>
        </w:rPr>
        <w:t xml:space="preserve">  </w:t>
      </w:r>
      <w:r>
        <w:rPr>
          <w:rFonts w:hint="eastAsia" w:ascii="仿宋_GB2312" w:hAnsi="黑体" w:eastAsia="仿宋_GB2312" w:cs="黑体"/>
          <w:sz w:val="32"/>
          <w:szCs w:val="32"/>
        </w:rPr>
        <w:t>人口数量、城市规划、乡村建设等出现较大变化时，可以根据实际情况，经烟草部门综合性评估，对相关市场单元零售点数量予以保护性冻结或应急性增设，对于调整的市场单元及时通过相关渠道对外公布。</w:t>
      </w:r>
    </w:p>
    <w:p>
      <w:pPr>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第十一条</w:t>
      </w:r>
      <w:r>
        <w:rPr>
          <w:rFonts w:hint="eastAsia" w:ascii="仿宋_GB2312" w:hAnsi="仿宋_GB2312" w:eastAsia="仿宋_GB2312" w:cs="仿宋_GB2312"/>
          <w:b/>
          <w:bCs/>
          <w:sz w:val="32"/>
          <w:szCs w:val="32"/>
        </w:rPr>
        <w:t xml:space="preserve">  </w:t>
      </w:r>
      <w:r>
        <w:rPr>
          <w:rFonts w:hint="eastAsia" w:ascii="仿宋_GB2312" w:hAnsi="黑体" w:eastAsia="仿宋_GB2312" w:cs="黑体"/>
          <w:sz w:val="32"/>
          <w:szCs w:val="32"/>
        </w:rPr>
        <w:t>市场单元零售点间距根据城市建设用地面积，剔除不宜设置零售点的区域面积，结合辖区内规划零售点数量、零售点覆盖范围、经济繁荣程度等因素综合测定。</w:t>
      </w:r>
    </w:p>
    <w:p>
      <w:pPr>
        <w:spacing w:line="360" w:lineRule="auto"/>
        <w:ind w:firstLine="640" w:firstLineChars="200"/>
        <w:rPr>
          <w:rFonts w:ascii="仿宋_GB2312" w:hAnsi="黑体" w:eastAsia="仿宋_GB2312" w:cs="黑体"/>
          <w:color w:val="FF0000"/>
          <w:sz w:val="32"/>
          <w:szCs w:val="32"/>
          <w:highlight w:val="yellow"/>
          <w:u w:val="single"/>
        </w:rPr>
      </w:pPr>
      <w:r>
        <w:rPr>
          <w:rFonts w:hint="eastAsia" w:ascii="仿宋_GB2312" w:hAnsi="黑体" w:eastAsia="仿宋_GB2312" w:cs="黑体"/>
          <w:sz w:val="32"/>
          <w:szCs w:val="32"/>
        </w:rPr>
        <w:t>街道零售点间距不低于</w:t>
      </w:r>
      <w:r>
        <w:rPr>
          <w:rFonts w:hint="eastAsia" w:ascii="仿宋_GB2312" w:hAnsi="黑体" w:eastAsia="仿宋_GB2312" w:cs="黑体"/>
          <w:color w:val="FF0000"/>
          <w:sz w:val="32"/>
          <w:szCs w:val="32"/>
        </w:rPr>
        <w:t>50</w:t>
      </w:r>
      <w:r>
        <w:rPr>
          <w:rFonts w:hint="eastAsia" w:ascii="仿宋_GB2312" w:hAnsi="黑体" w:eastAsia="仿宋_GB2312" w:cs="黑体"/>
          <w:sz w:val="32"/>
          <w:szCs w:val="32"/>
        </w:rPr>
        <w:t>米，乡镇零售点间距不低于</w:t>
      </w:r>
      <w:r>
        <w:rPr>
          <w:rFonts w:hint="eastAsia" w:ascii="仿宋_GB2312" w:hAnsi="黑体" w:eastAsia="仿宋_GB2312" w:cs="黑体"/>
          <w:color w:val="FF0000"/>
          <w:sz w:val="32"/>
          <w:szCs w:val="32"/>
        </w:rPr>
        <w:t>50</w:t>
      </w:r>
      <w:r>
        <w:rPr>
          <w:rFonts w:hint="eastAsia" w:ascii="仿宋_GB2312" w:hAnsi="黑体" w:eastAsia="仿宋_GB2312" w:cs="黑体"/>
          <w:sz w:val="32"/>
          <w:szCs w:val="32"/>
        </w:rPr>
        <w:t>米。</w:t>
      </w:r>
    </w:p>
    <w:p>
      <w:pPr>
        <w:widowControl/>
        <w:ind w:firstLine="640" w:firstLineChars="200"/>
        <w:rPr>
          <w:rFonts w:ascii="仿宋_GB2312" w:hAnsi="黑体" w:eastAsia="仿宋_GB2312" w:cs="黑体"/>
          <w:sz w:val="32"/>
          <w:szCs w:val="32"/>
        </w:rPr>
      </w:pPr>
      <w:r>
        <w:rPr>
          <w:rFonts w:hint="eastAsia" w:ascii="黑体" w:hAnsi="黑体" w:eastAsia="黑体" w:cs="仿宋_GB2312"/>
          <w:sz w:val="32"/>
          <w:szCs w:val="32"/>
        </w:rPr>
        <w:t xml:space="preserve">第十二条  </w:t>
      </w:r>
      <w:r>
        <w:rPr>
          <w:rFonts w:hint="eastAsia" w:ascii="仿宋_GB2312" w:hAnsi="黑体" w:eastAsia="仿宋_GB2312" w:cs="黑体"/>
          <w:sz w:val="32"/>
          <w:szCs w:val="32"/>
        </w:rPr>
        <w:t>烟草专卖局常态采用轮候排序机制，根据省烟草专卖局部署及本地实际管理需要，在充分调研和评估的基础上，可以选择采用集中时点摇号或集中时点放号模式。</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（一）集中时点摇号模式以“摇中号码顺序”为受理次序，每季度组织一次，按照申请人摇中号码从小到大顺序依次受理。</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（二）集中放号模式以“先到先得”为原则，集中时段投放许可证号源，申请人通过线上抢号方式获取受理资格。</w:t>
      </w:r>
    </w:p>
    <w:p>
      <w:pPr>
        <w:spacing w:line="360" w:lineRule="auto"/>
        <w:ind w:firstLine="640" w:firstLineChars="200"/>
        <w:rPr>
          <w:rFonts w:ascii="黑体" w:hAnsi="黑体" w:eastAsia="黑体" w:cs="仿宋_GB2312"/>
          <w:sz w:val="32"/>
          <w:szCs w:val="32"/>
        </w:rPr>
      </w:pPr>
      <w:r>
        <w:rPr>
          <w:rFonts w:hint="eastAsia" w:ascii="仿宋_GB2312" w:hAnsi="黑体" w:eastAsia="仿宋_GB2312" w:cs="黑体"/>
          <w:sz w:val="32"/>
          <w:szCs w:val="32"/>
        </w:rPr>
        <w:t>决定运用上述两种模式时，汶上县烟草专卖局将对摇号或放号的前期准备、资质审核、运行规则、结果运用及监督方式在汶上县政府网站、烟草专卖局政务服务大厅公示栏予以公示公布。</w:t>
      </w:r>
    </w:p>
    <w:p>
      <w:pPr>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第十三条</w:t>
      </w:r>
      <w:r>
        <w:rPr>
          <w:rFonts w:hint="eastAsia" w:ascii="仿宋_GB2312" w:hAnsi="仿宋_GB2312" w:eastAsia="仿宋_GB2312" w:cs="仿宋_GB2312"/>
          <w:b/>
          <w:bCs/>
          <w:sz w:val="32"/>
          <w:szCs w:val="32"/>
        </w:rPr>
        <w:t xml:space="preserve">  </w:t>
      </w:r>
      <w:r>
        <w:rPr>
          <w:rFonts w:hint="eastAsia" w:ascii="仿宋_GB2312" w:hAnsi="黑体" w:eastAsia="仿宋_GB2312" w:cs="黑体"/>
          <w:sz w:val="32"/>
          <w:szCs w:val="32"/>
        </w:rPr>
        <w:t>符合下列范围和条件的优抚对象申请办理烟草专卖零售许可证，在符合其他法定条件和市场单元容量管理要求的前提下，受单元容量限制，间距标准可适当放宽，但间距不得低于规定间距的60%。</w:t>
      </w:r>
    </w:p>
    <w:p>
      <w:pPr>
        <w:pStyle w:val="3"/>
        <w:widowControl/>
        <w:spacing w:line="360" w:lineRule="auto"/>
        <w:ind w:firstLine="640"/>
        <w:jc w:val="both"/>
        <w:rPr>
          <w:rFonts w:hint="default"/>
        </w:rPr>
      </w:pPr>
      <w:r>
        <w:rPr>
          <w:rFonts w:ascii="仿宋_GB2312" w:hAnsi="黑体" w:eastAsia="仿宋_GB2312" w:cs="黑体"/>
          <w:sz w:val="32"/>
          <w:szCs w:val="32"/>
        </w:rPr>
        <w:t>（一）</w:t>
      </w:r>
      <w:r>
        <w:rPr>
          <w:rFonts w:ascii="仿宋_GB2312" w:eastAsia="仿宋_GB2312" w:cs="仿宋_GB2312"/>
          <w:sz w:val="31"/>
          <w:szCs w:val="31"/>
        </w:rPr>
        <w:t>优抚对象范围：</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1.因公牺牲军警（消防员）或烈士的父母、配偶及子女；</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2.持有《中华人民共和国残疾人证》且具有完全民事行为能力的残疾人（智力残疾和精神残疾不适用优抚政策）</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适用优抚政策的残疾类别和等级一般为：听力残疾一级至二级，言语残疾一级至二级，视力残疾一级至二级，肢体残疾一级至二级。</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3.其他法律、法规、规章、行政规范性文件或县级以上人民政府发布的政策文件中，明确规定在办理烟草专卖零售许可证时予以优抚的对象。</w:t>
      </w:r>
    </w:p>
    <w:p>
      <w:pPr>
        <w:spacing w:line="360" w:lineRule="auto"/>
        <w:ind w:firstLine="640" w:firstLineChars="200"/>
        <w:rPr>
          <w:rFonts w:ascii="仿宋_GB2312" w:hAnsi="仿宋" w:eastAsia="仿宋_GB2312" w:cs="仿宋_GB2312"/>
          <w:sz w:val="32"/>
          <w:szCs w:val="32"/>
        </w:rPr>
      </w:pPr>
      <w:r>
        <w:rPr>
          <w:rFonts w:hint="eastAsia" w:ascii="仿宋_GB2312" w:hAnsi="黑体" w:eastAsia="仿宋_GB2312" w:cs="黑体"/>
          <w:sz w:val="32"/>
          <w:szCs w:val="32"/>
        </w:rPr>
        <w:t>（二）</w:t>
      </w:r>
      <w:r>
        <w:rPr>
          <w:rFonts w:hint="eastAsia" w:ascii="仿宋_GB2312" w:hAnsi="仿宋" w:eastAsia="仿宋_GB2312" w:cs="仿宋_GB2312"/>
          <w:sz w:val="32"/>
          <w:szCs w:val="32"/>
        </w:rPr>
        <w:t>优抚对象必须同时满足以下条件：</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（1）申请主体类型为个体工商户（个人经营）或个人独资企业；</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（2）在全省范围内未持有有效的烟草专卖零售许可证（即“一户一证”）；</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（3）持有相关部门出具的身份证明或资格证明文件原件及复印件。残疾人需提供</w:t>
      </w:r>
      <w:r>
        <w:rPr>
          <w:rFonts w:hint="eastAsia" w:ascii="仿宋_GB2312" w:hAnsi="仿宋" w:eastAsia="仿宋_GB2312" w:cs="仿宋_GB2312"/>
          <w:color w:val="FF0000"/>
          <w:sz w:val="32"/>
          <w:szCs w:val="32"/>
        </w:rPr>
        <w:t>在有效期内</w:t>
      </w:r>
      <w:r>
        <w:rPr>
          <w:rFonts w:hint="eastAsia" w:ascii="仿宋_GB2312" w:hAnsi="仿宋" w:eastAsia="仿宋_GB2312" w:cs="仿宋_GB2312"/>
          <w:sz w:val="32"/>
          <w:szCs w:val="32"/>
        </w:rPr>
        <w:t>的残疾人证等相关部门核发的证件；烈士遗属、因公牺牲军人遗属需提供烈士证明书或军人因公牺牲证明书、遗属关系证明文件等证明材料；</w:t>
      </w:r>
    </w:p>
    <w:p>
      <w:pPr>
        <w:pStyle w:val="3"/>
        <w:widowControl/>
        <w:spacing w:line="360" w:lineRule="auto"/>
        <w:ind w:firstLine="640" w:firstLineChars="200"/>
        <w:jc w:val="both"/>
        <w:rPr>
          <w:rFonts w:hint="default" w:eastAsia="仿宋_GB2312"/>
          <w:highlight w:val="yellow"/>
        </w:rPr>
      </w:pPr>
      <w:r>
        <w:rPr>
          <w:rFonts w:ascii="仿宋_GB2312" w:hAnsi="仿宋" w:eastAsia="仿宋_GB2312" w:cs="仿宋_GB2312"/>
          <w:sz w:val="32"/>
          <w:szCs w:val="32"/>
        </w:rPr>
        <w:t>（4）由优抚对象本人实际经营</w:t>
      </w:r>
      <w:r>
        <w:rPr>
          <w:rFonts w:ascii="仿宋_GB2312" w:eastAsia="仿宋_GB2312" w:cs="仿宋_GB2312"/>
          <w:sz w:val="31"/>
          <w:szCs w:val="31"/>
        </w:rPr>
        <w:t>。</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w:t>
      </w:r>
      <w:r>
        <w:rPr>
          <w:rFonts w:hint="eastAsia" w:ascii="仿宋_GB2312" w:hAnsi="黑体" w:eastAsia="仿宋_GB2312" w:cs="黑体"/>
          <w:sz w:val="32"/>
          <w:szCs w:val="32"/>
        </w:rPr>
        <w:t>享受优抚政策申办的许可证，不得变更持证人。</w:t>
      </w:r>
    </w:p>
    <w:p>
      <w:pPr>
        <w:overflowPunct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（四）同一优抚对象仅享受一次放宽政策。</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第十四条</w:t>
      </w:r>
      <w:r>
        <w:rPr>
          <w:rFonts w:hint="eastAsia" w:ascii="仿宋_GB2312" w:hAnsi="仿宋_GB2312" w:eastAsia="仿宋_GB2312" w:cs="仿宋_GB2312"/>
          <w:b/>
          <w:bCs/>
          <w:sz w:val="32"/>
          <w:szCs w:val="32"/>
        </w:rPr>
        <w:t xml:space="preserve">  </w:t>
      </w:r>
      <w:r>
        <w:rPr>
          <w:rFonts w:hint="eastAsia" w:ascii="仿宋_GB2312" w:hAnsi="黑体" w:eastAsia="仿宋_GB2312" w:cs="黑体"/>
          <w:sz w:val="32"/>
          <w:szCs w:val="32"/>
        </w:rPr>
        <w:t>营业面积1000平方米以上（不包括独立的仓储、办公区域、公共通道、停车场等）的商场、超市、便利店等，受市场单元零售点规划数量限制，间距标准可适当放宽，但间距不得低于规定间距的60%。</w:t>
      </w:r>
    </w:p>
    <w:p>
      <w:pPr>
        <w:adjustRightInd w:val="0"/>
        <w:snapToGrid w:val="0"/>
        <w:spacing w:line="360" w:lineRule="auto"/>
        <w:ind w:firstLine="640" w:firstLineChars="200"/>
        <w:rPr>
          <w:rFonts w:ascii="仿宋_GB2312" w:hAnsi="仿宋" w:eastAsia="仿宋_GB2312" w:cs="仿宋_GB2312"/>
          <w:sz w:val="32"/>
          <w:szCs w:val="32"/>
          <w:highlight w:val="yellow"/>
        </w:rPr>
      </w:pPr>
      <w:r>
        <w:rPr>
          <w:rFonts w:hint="eastAsia" w:ascii="黑体" w:hAnsi="黑体" w:eastAsia="黑体" w:cs="仿宋_GB2312"/>
          <w:sz w:val="32"/>
          <w:szCs w:val="32"/>
        </w:rPr>
        <w:t>第十五条</w:t>
      </w:r>
      <w:r>
        <w:rPr>
          <w:rFonts w:hint="eastAsia" w:ascii="仿宋_GB2312" w:hAnsi="仿宋_GB2312" w:eastAsia="仿宋_GB2312" w:cs="仿宋_GB2312"/>
          <w:b/>
          <w:bCs/>
          <w:sz w:val="32"/>
          <w:szCs w:val="32"/>
        </w:rPr>
        <w:t xml:space="preserve">  </w:t>
      </w:r>
      <w:r>
        <w:rPr>
          <w:rFonts w:hint="eastAsia" w:ascii="仿宋_GB2312" w:hAnsi="仿宋" w:eastAsia="仿宋_GB2312" w:cs="仿宋_GB2312"/>
          <w:sz w:val="32"/>
          <w:szCs w:val="32"/>
        </w:rPr>
        <w:t>有下列情形之一的，在许可证有效期内申请变更到原发证机关管辖区域内其他地址经营的，不受目标地址所在基本市场单元容量限制，但受间距限制：</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（一）持证人因客观原因导致原经营地址位于中小学、幼儿园周围限制区域内的；</w:t>
      </w:r>
    </w:p>
    <w:p>
      <w:pPr>
        <w:adjustRightInd w:val="0"/>
        <w:snapToGrid w:val="0"/>
        <w:spacing w:line="360" w:lineRule="auto"/>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（二）因政府统一道路规划、城市建设（如拆迁、旧城改造）等原因造成无法在原核定地址继续经营的。</w:t>
      </w:r>
    </w:p>
    <w:p>
      <w:pPr>
        <w:adjustRightInd w:val="0"/>
        <w:snapToGrid w:val="0"/>
        <w:spacing w:line="360" w:lineRule="auto"/>
        <w:ind w:firstLine="640" w:firstLineChars="200"/>
        <w:rPr>
          <w:rFonts w:ascii="仿宋_GB2312" w:hAnsi="仿宋_GB2312" w:eastAsia="仿宋_GB2312" w:cs="仿宋_GB2312"/>
          <w:sz w:val="32"/>
          <w:szCs w:val="32"/>
        </w:rPr>
      </w:pPr>
      <w:r>
        <w:rPr>
          <w:rFonts w:hint="eastAsia" w:ascii="黑体" w:hAnsi="黑体" w:eastAsia="黑体" w:cs="仿宋_GB2312"/>
          <w:sz w:val="32"/>
          <w:szCs w:val="32"/>
        </w:rPr>
        <w:t>第十六条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个人经营的个体工商户或个人独资企业，若原持证人死亡或完全丧失民事行为能力，其直系亲属（限于配偶、父母、子女）或法定监护人，在原持证人死亡或丧失民事行为能力之日起90个自然日内，符合申领烟草专卖零售许可证主体资格条件的配偶、父母、子女或法定监护人，在原经营地址继续经营并重新申领烟草专卖零售许可证的向原发证机关提出申请，可不受该地址所在市场单元容量限制和零售点间距限制。但申请人需提供相关法律关系证明，且原持证人在许可证有效期内，注销前2年内无涉烟违法违规经营记录（以行政处罚决定书或司法机关文书为准）。</w:t>
      </w:r>
    </w:p>
    <w:p>
      <w:pPr>
        <w:pStyle w:val="3"/>
        <w:widowControl/>
        <w:spacing w:line="360" w:lineRule="auto"/>
        <w:ind w:firstLine="640"/>
        <w:jc w:val="both"/>
        <w:rPr>
          <w:rFonts w:hint="default" w:ascii="仿宋_GB2312" w:eastAsia="仿宋_GB2312" w:cs="仿宋_GB2312"/>
          <w:sz w:val="31"/>
          <w:szCs w:val="31"/>
        </w:rPr>
      </w:pPr>
      <w:r>
        <w:rPr>
          <w:rFonts w:ascii="仿宋_GB2312" w:eastAsia="仿宋_GB2312" w:cs="仿宋_GB2312"/>
          <w:sz w:val="31"/>
          <w:szCs w:val="31"/>
        </w:rPr>
        <w:t>享受优抚政策办证的零售户，不适用于此项规定。</w:t>
      </w:r>
    </w:p>
    <w:p>
      <w:pPr>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第十七条</w:t>
      </w:r>
      <w:r>
        <w:rPr>
          <w:rFonts w:hint="eastAsia" w:ascii="仿宋_GB2312" w:hAnsi="黑体" w:eastAsia="仿宋_GB2312" w:cs="黑体"/>
          <w:b/>
          <w:bCs/>
          <w:sz w:val="32"/>
          <w:szCs w:val="32"/>
        </w:rPr>
        <w:t xml:space="preserve">  </w:t>
      </w:r>
      <w:r>
        <w:rPr>
          <w:rFonts w:ascii="仿宋_GB2312" w:hAnsi="黑体" w:eastAsia="仿宋_GB2312" w:cs="黑体"/>
          <w:sz w:val="32"/>
          <w:szCs w:val="32"/>
        </w:rPr>
        <w:t>申请主体有下列情形之一的，</w:t>
      </w:r>
      <w:bookmarkStart w:id="3" w:name="_Hlk136424880"/>
      <w:r>
        <w:rPr>
          <w:rFonts w:hint="eastAsia" w:ascii="仿宋_GB2312" w:hAnsi="黑体" w:eastAsia="仿宋_GB2312" w:cs="黑体"/>
          <w:sz w:val="32"/>
          <w:szCs w:val="32"/>
        </w:rPr>
        <w:t>不予核发烟草专卖零售许可证</w:t>
      </w:r>
      <w:bookmarkEnd w:id="3"/>
      <w:r>
        <w:rPr>
          <w:rFonts w:ascii="仿宋_GB2312" w:hAnsi="黑体" w:eastAsia="仿宋_GB2312" w:cs="黑体"/>
          <w:sz w:val="32"/>
          <w:szCs w:val="32"/>
        </w:rPr>
        <w:t>：</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（一）未成年人、</w:t>
      </w:r>
      <w:r>
        <w:rPr>
          <w:rFonts w:ascii="仿宋_GB2312" w:hAnsi="黑体" w:eastAsia="仿宋_GB2312" w:cs="黑体"/>
          <w:sz w:val="32"/>
          <w:szCs w:val="32"/>
        </w:rPr>
        <w:t>无民事行为能力人</w:t>
      </w:r>
      <w:r>
        <w:rPr>
          <w:rFonts w:hint="eastAsia" w:ascii="仿宋_GB2312" w:hAnsi="黑体" w:eastAsia="仿宋_GB2312" w:cs="黑体"/>
          <w:sz w:val="32"/>
          <w:szCs w:val="32"/>
        </w:rPr>
        <w:t>或者</w:t>
      </w:r>
      <w:r>
        <w:rPr>
          <w:rFonts w:ascii="仿宋_GB2312" w:hAnsi="黑体" w:eastAsia="仿宋_GB2312" w:cs="黑体"/>
          <w:sz w:val="32"/>
          <w:szCs w:val="32"/>
        </w:rPr>
        <w:t>限制民事行为能力人</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w:t>
      </w:r>
      <w:r>
        <w:rPr>
          <w:rFonts w:ascii="仿宋_GB2312" w:hAnsi="黑体" w:eastAsia="仿宋_GB2312" w:cs="黑体"/>
          <w:sz w:val="32"/>
          <w:szCs w:val="32"/>
        </w:rPr>
        <w:t>外商投资的商业企业或者个体工商户</w:t>
      </w:r>
      <w:r>
        <w:rPr>
          <w:rFonts w:hint="eastAsia" w:ascii="仿宋_GB2312" w:hAnsi="黑体" w:eastAsia="仿宋_GB2312" w:cs="黑体"/>
          <w:sz w:val="32"/>
          <w:szCs w:val="32"/>
        </w:rPr>
        <w:t>，或者其</w:t>
      </w:r>
      <w:r>
        <w:rPr>
          <w:rFonts w:ascii="仿宋_GB2312" w:hAnsi="黑体" w:eastAsia="仿宋_GB2312" w:cs="黑体"/>
          <w:sz w:val="32"/>
          <w:szCs w:val="32"/>
        </w:rPr>
        <w:t>以特许、吸纳加盟</w:t>
      </w:r>
      <w:r>
        <w:rPr>
          <w:rFonts w:hint="eastAsia" w:ascii="仿宋_GB2312" w:hAnsi="黑体" w:eastAsia="仿宋_GB2312" w:cs="黑体"/>
          <w:sz w:val="32"/>
          <w:szCs w:val="32"/>
        </w:rPr>
        <w:t>店</w:t>
      </w:r>
      <w:r>
        <w:rPr>
          <w:rFonts w:ascii="仿宋_GB2312" w:hAnsi="黑体" w:eastAsia="仿宋_GB2312" w:cs="黑体"/>
          <w:sz w:val="32"/>
          <w:szCs w:val="32"/>
        </w:rPr>
        <w:t>以及其他再投资等形式变相从事烟草专卖品经营的</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w:t>
      </w:r>
      <w:r>
        <w:rPr>
          <w:rFonts w:ascii="仿宋_GB2312" w:hAnsi="黑体" w:eastAsia="仿宋_GB2312" w:cs="黑体"/>
          <w:sz w:val="32"/>
          <w:szCs w:val="32"/>
        </w:rPr>
        <w:t>取消从事烟草专卖业务资格不满三年的</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w:t>
      </w:r>
      <w:r>
        <w:rPr>
          <w:rFonts w:ascii="仿宋_GB2312" w:hAnsi="黑体" w:eastAsia="仿宋_GB2312" w:cs="黑体"/>
          <w:sz w:val="32"/>
          <w:szCs w:val="32"/>
        </w:rPr>
        <w:t>隐瞒有关情况或者提供虚假材料，烟草专卖局作出不予受理或者不予发证决定后，一年内再次提出申请的</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（五）</w:t>
      </w:r>
      <w:r>
        <w:rPr>
          <w:rFonts w:ascii="仿宋_GB2312" w:hAnsi="黑体" w:eastAsia="仿宋_GB2312" w:cs="黑体"/>
          <w:sz w:val="32"/>
          <w:szCs w:val="32"/>
        </w:rPr>
        <w:t>以欺骗、贿赂等不正当手段取得的烟草专卖许可证被撤销后，三年内再次提出申请的</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（六）未领取烟草专卖零售许可证经营烟草专卖品业务被追究刑事责任，在三年内申请领取烟草专卖零售许可证的；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（七）未领取烟草专卖零售许可证经营烟草专卖品业务，并且一年内被执法机关处罚两次以上，在三年内申请领取烟草专卖零售许可证的；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（八）</w:t>
      </w:r>
      <w:bookmarkStart w:id="4" w:name="_Hlk133072016"/>
      <w:r>
        <w:rPr>
          <w:rFonts w:ascii="仿宋_GB2312" w:hAnsi="黑体" w:eastAsia="仿宋_GB2312" w:cs="黑体"/>
          <w:sz w:val="32"/>
          <w:szCs w:val="32"/>
        </w:rPr>
        <w:t>其他依法不得从事烟草制品零售业务的情形</w:t>
      </w:r>
      <w:bookmarkEnd w:id="4"/>
      <w:r>
        <w:rPr>
          <w:rFonts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第十八条</w:t>
      </w:r>
      <w:r>
        <w:rPr>
          <w:rFonts w:hint="eastAsia" w:ascii="仿宋" w:hAnsi="仿宋" w:eastAsia="仿宋" w:cs="仿宋_GB2312"/>
          <w:sz w:val="32"/>
          <w:szCs w:val="32"/>
        </w:rPr>
        <w:t xml:space="preserve">  </w:t>
      </w:r>
      <w:r>
        <w:rPr>
          <w:rFonts w:hint="eastAsia" w:ascii="仿宋_GB2312" w:hAnsi="黑体" w:eastAsia="仿宋_GB2312" w:cs="黑体"/>
          <w:sz w:val="32"/>
          <w:szCs w:val="32"/>
        </w:rPr>
        <w:t>经营场所有下列情形之一的，不予核发烟草专卖零售许可证：</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（一）无固定经营场所的；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（二）经营场所与住所不相独立的；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w:t>
      </w:r>
      <w:r>
        <w:rPr>
          <w:rFonts w:ascii="仿宋_GB2312" w:hAnsi="黑体" w:eastAsia="仿宋_GB2312" w:cs="黑体"/>
          <w:sz w:val="32"/>
          <w:szCs w:val="32"/>
        </w:rPr>
        <w:t>中小学</w:t>
      </w:r>
      <w:r>
        <w:rPr>
          <w:rFonts w:hint="eastAsia" w:ascii="仿宋_GB2312" w:hAnsi="黑体" w:eastAsia="仿宋_GB2312" w:cs="黑体"/>
          <w:sz w:val="32"/>
          <w:szCs w:val="32"/>
        </w:rPr>
        <w:t>校、</w:t>
      </w:r>
      <w:r>
        <w:rPr>
          <w:rFonts w:ascii="仿宋_GB2312" w:hAnsi="黑体" w:eastAsia="仿宋_GB2312" w:cs="黑体"/>
          <w:sz w:val="32"/>
          <w:szCs w:val="32"/>
        </w:rPr>
        <w:t>幼儿园</w:t>
      </w:r>
      <w:r>
        <w:rPr>
          <w:rFonts w:hint="eastAsia" w:ascii="仿宋_GB2312" w:hAnsi="黑体" w:eastAsia="仿宋_GB2312" w:cs="黑体"/>
          <w:sz w:val="32"/>
          <w:szCs w:val="32"/>
        </w:rPr>
        <w:t>内及其进出通道口向外延伸100</w:t>
      </w:r>
      <w:r>
        <w:rPr>
          <w:rFonts w:ascii="仿宋_GB2312" w:hAnsi="黑体" w:eastAsia="仿宋_GB2312" w:cs="黑体"/>
          <w:sz w:val="32"/>
          <w:szCs w:val="32"/>
        </w:rPr>
        <w:t>米</w:t>
      </w:r>
      <w:r>
        <w:rPr>
          <w:rFonts w:hint="eastAsia" w:ascii="仿宋_GB2312" w:hAnsi="黑体" w:eastAsia="仿宋_GB2312" w:cs="黑体"/>
          <w:sz w:val="32"/>
          <w:szCs w:val="32"/>
        </w:rPr>
        <w:t>以</w:t>
      </w:r>
      <w:r>
        <w:rPr>
          <w:rFonts w:ascii="仿宋_GB2312" w:hAnsi="黑体" w:eastAsia="仿宋_GB2312" w:cs="黑体"/>
          <w:sz w:val="32"/>
          <w:szCs w:val="32"/>
        </w:rPr>
        <w:t>内的</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（四）位于</w:t>
      </w:r>
      <w:r>
        <w:rPr>
          <w:rFonts w:ascii="仿宋_GB2312" w:hAnsi="黑体" w:eastAsia="仿宋_GB2312" w:cs="黑体"/>
          <w:sz w:val="32"/>
          <w:szCs w:val="32"/>
        </w:rPr>
        <w:t>党政机关、</w:t>
      </w:r>
      <w:bookmarkStart w:id="5" w:name="_Hlk134774964"/>
      <w:r>
        <w:rPr>
          <w:rFonts w:ascii="仿宋_GB2312" w:hAnsi="黑体" w:eastAsia="仿宋_GB2312" w:cs="黑体"/>
          <w:sz w:val="32"/>
          <w:szCs w:val="32"/>
        </w:rPr>
        <w:t>医疗机构</w:t>
      </w:r>
      <w:bookmarkEnd w:id="5"/>
      <w:r>
        <w:rPr>
          <w:rFonts w:ascii="仿宋_GB2312" w:hAnsi="黑体" w:eastAsia="仿宋_GB2312" w:cs="黑体"/>
          <w:sz w:val="32"/>
          <w:szCs w:val="32"/>
        </w:rPr>
        <w:t>内部</w:t>
      </w:r>
      <w:r>
        <w:rPr>
          <w:rFonts w:hint="eastAsia" w:ascii="仿宋_GB2312" w:hAnsi="黑体" w:eastAsia="仿宋_GB2312" w:cs="黑体"/>
          <w:sz w:val="32"/>
          <w:szCs w:val="32"/>
        </w:rPr>
        <w:t>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（五）已被政府纳入拆迁规划的区域；</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（六）办公楼、写字楼、</w:t>
      </w:r>
      <w:r>
        <w:rPr>
          <w:rFonts w:hint="eastAsia" w:ascii="仿宋_GB2312" w:hAnsi="黑体" w:eastAsia="仿宋_GB2312" w:cs="黑体"/>
          <w:color w:val="FF0000"/>
          <w:sz w:val="32"/>
          <w:szCs w:val="32"/>
        </w:rPr>
        <w:t>门面楼</w:t>
      </w:r>
      <w:r>
        <w:rPr>
          <w:rFonts w:hint="eastAsia" w:ascii="仿宋_GB2312" w:hAnsi="黑体" w:eastAsia="仿宋_GB2312" w:cs="黑体"/>
          <w:sz w:val="32"/>
          <w:szCs w:val="32"/>
        </w:rPr>
        <w:t>等除首层沿街以外的场所；</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七）爱国主义教育基地、图书馆、青少年宫、儿童活动中心、儿童之家、博物馆、纪念馆、科技馆、展览馆、美术馆、文化馆、社区公益性互联网上网服务场所以及影剧院、体育场馆、动物园、植物园、公园等未成年人活动聚集场所及其附属设施内部；</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（八）母婴用品、文具玩具、青少年培训机构、未成年人游乐场所等容易诱导未成年人关注、购买、吸食烟草制品的场所内部；</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（九）生产、经营、储存有毒有害、易燃易爆易挥发类物质，容易造成烟草制品污染或基于安全因素不适宜经营烟草制品的经营场所；</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（十）申请时不具备商品售卖条件的；</w:t>
      </w:r>
    </w:p>
    <w:p>
      <w:pPr>
        <w:adjustRightInd w:val="0"/>
        <w:snapToGrid w:val="0"/>
        <w:spacing w:line="360" w:lineRule="auto"/>
        <w:ind w:firstLine="640" w:firstLineChars="200"/>
        <w:rPr>
          <w:rFonts w:ascii="仿宋_GB2312" w:hAnsi="黑体" w:eastAsia="仿宋_GB2312" w:cs="黑体"/>
          <w:sz w:val="32"/>
          <w:szCs w:val="32"/>
          <w:highlight w:val="yellow"/>
        </w:rPr>
      </w:pPr>
      <w:r>
        <w:rPr>
          <w:rFonts w:hint="eastAsia" w:ascii="仿宋_GB2312" w:hAnsi="黑体" w:eastAsia="仿宋_GB2312" w:cs="黑体"/>
          <w:sz w:val="32"/>
          <w:szCs w:val="32"/>
        </w:rPr>
        <w:t>（十一）政府或相关部门明文规定不适宜经营烟草制品的场所；</w:t>
      </w:r>
      <w:bookmarkStart w:id="6" w:name="_Hlk133072425"/>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（十二）其他依法不得从事烟草制品零售业务的场所。</w:t>
      </w:r>
      <w:bookmarkEnd w:id="6"/>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 xml:space="preserve">第十九条  </w:t>
      </w:r>
      <w:r>
        <w:rPr>
          <w:rFonts w:hint="eastAsia" w:ascii="仿宋_GB2312" w:hAnsi="黑体" w:eastAsia="仿宋_GB2312" w:cs="黑体"/>
          <w:sz w:val="32"/>
          <w:szCs w:val="32"/>
        </w:rPr>
        <w:t>主营业务包括但不限于</w:t>
      </w:r>
      <w:r>
        <w:rPr>
          <w:rFonts w:hint="eastAsia" w:ascii="仿宋" w:hAnsi="仿宋" w:eastAsia="仿宋" w:cs="黑体"/>
          <w:sz w:val="32"/>
          <w:szCs w:val="32"/>
        </w:rPr>
        <w:t>服装鞋帽、药妆医械、电子商品、通信器材、网吧网咖、练歌房(夜总会)、台球酒吧、棋牌麻将、彩票电玩、餐饮饭店、宾馆酒店、美发美容、美甲纹身、保健按摩、洗浴足疗、五金</w:t>
      </w:r>
      <w:r>
        <w:rPr>
          <w:rFonts w:hint="eastAsia" w:ascii="仿宋" w:hAnsi="仿宋" w:eastAsia="仿宋" w:cs="黑体"/>
          <w:sz w:val="32"/>
          <w:szCs w:val="32"/>
          <w:lang w:eastAsia="zh-CN"/>
        </w:rPr>
        <w:t>交化、汽修</w:t>
      </w:r>
      <w:r>
        <w:rPr>
          <w:rFonts w:hint="eastAsia" w:ascii="仿宋" w:hAnsi="仿宋" w:eastAsia="仿宋" w:cs="黑体"/>
          <w:sz w:val="32"/>
          <w:szCs w:val="32"/>
        </w:rPr>
        <w:t>汽</w:t>
      </w:r>
      <w:r>
        <w:rPr>
          <w:rFonts w:hint="eastAsia" w:ascii="仿宋" w:hAnsi="仿宋" w:eastAsia="仿宋" w:cs="黑体"/>
          <w:sz w:val="32"/>
          <w:szCs w:val="32"/>
          <w:lang w:eastAsia="zh-CN"/>
        </w:rPr>
        <w:t>配</w:t>
      </w:r>
      <w:r>
        <w:rPr>
          <w:rFonts w:hint="eastAsia" w:ascii="仿宋" w:hAnsi="仿宋" w:eastAsia="仿宋" w:cs="黑体"/>
          <w:sz w:val="32"/>
          <w:szCs w:val="32"/>
        </w:rPr>
        <w:t>、办公用品、文体用品、图书报刊、音像制品、金银珠宝、钟表眼镜、交通工具、鲜花绿植、</w:t>
      </w:r>
      <w:r>
        <w:rPr>
          <w:rFonts w:hint="eastAsia" w:ascii="仿宋" w:hAnsi="仿宋" w:eastAsia="仿宋" w:cs="黑体"/>
          <w:sz w:val="32"/>
          <w:szCs w:val="32"/>
          <w:highlight w:val="none"/>
        </w:rPr>
        <w:t>粮油调味品、生鲜熟食、</w:t>
      </w:r>
      <w:r>
        <w:rPr>
          <w:rFonts w:hint="eastAsia" w:ascii="仿宋" w:hAnsi="仿宋" w:eastAsia="仿宋" w:cs="黑体"/>
          <w:sz w:val="32"/>
          <w:szCs w:val="32"/>
        </w:rPr>
        <w:t>冷冻食品、面点烘焙、宠物用品(服务)、家居建材、家电厨卫、装修装潢、</w:t>
      </w:r>
      <w:r>
        <w:rPr>
          <w:rFonts w:hint="eastAsia" w:ascii="仿宋" w:hAnsi="仿宋" w:eastAsia="仿宋" w:cs="黑体"/>
          <w:sz w:val="32"/>
          <w:szCs w:val="32"/>
          <w:highlight w:val="none"/>
        </w:rPr>
        <w:t>物流寄递</w:t>
      </w:r>
      <w:r>
        <w:rPr>
          <w:rFonts w:hint="eastAsia" w:ascii="仿宋" w:hAnsi="仿宋" w:eastAsia="仿宋" w:cs="黑体"/>
          <w:sz w:val="32"/>
          <w:szCs w:val="32"/>
        </w:rPr>
        <w:t>、</w:t>
      </w:r>
      <w:r>
        <w:rPr>
          <w:rFonts w:hint="eastAsia" w:ascii="仿宋" w:hAnsi="仿宋" w:eastAsia="仿宋" w:cs="黑体"/>
          <w:sz w:val="32"/>
          <w:szCs w:val="32"/>
          <w:highlight w:val="none"/>
        </w:rPr>
        <w:t>物管租赁</w:t>
      </w:r>
      <w:r>
        <w:rPr>
          <w:rFonts w:hint="eastAsia" w:ascii="仿宋" w:hAnsi="仿宋" w:eastAsia="仿宋" w:cs="黑体"/>
          <w:sz w:val="32"/>
          <w:szCs w:val="32"/>
        </w:rPr>
        <w:t>、中介</w:t>
      </w:r>
      <w:r>
        <w:rPr>
          <w:rFonts w:hint="eastAsia" w:ascii="仿宋" w:hAnsi="仿宋" w:eastAsia="仿宋" w:cs="黑体"/>
          <w:sz w:val="32"/>
          <w:szCs w:val="32"/>
          <w:lang w:eastAsia="zh-CN"/>
        </w:rPr>
        <w:t>、</w:t>
      </w:r>
      <w:r>
        <w:rPr>
          <w:rFonts w:hint="eastAsia" w:ascii="仿宋" w:hAnsi="仿宋" w:eastAsia="仿宋" w:cs="黑体"/>
          <w:sz w:val="32"/>
          <w:szCs w:val="32"/>
        </w:rPr>
        <w:t>劳服、法律服务、广告设计、金融证券、教育培训、图文印刷、复印打印、照相冲印、婚纱摄影、停车洗车、清洗干洗、宗教祭祀、殡仪服务、寄卖典当、礼品回收、</w:t>
      </w:r>
      <w:r>
        <w:rPr>
          <w:rFonts w:hint="eastAsia" w:ascii="仿宋" w:hAnsi="仿宋" w:eastAsia="仿宋" w:cs="黑体"/>
          <w:color w:val="FF0000"/>
          <w:sz w:val="32"/>
          <w:szCs w:val="32"/>
        </w:rPr>
        <w:t>婚</w:t>
      </w:r>
      <w:r>
        <w:rPr>
          <w:rFonts w:hint="eastAsia" w:ascii="仿宋" w:hAnsi="仿宋" w:eastAsia="仿宋" w:cs="黑体"/>
          <w:color w:val="FF0000"/>
          <w:sz w:val="32"/>
          <w:szCs w:val="32"/>
          <w:lang w:eastAsia="zh-CN"/>
        </w:rPr>
        <w:t>庆服务</w:t>
      </w:r>
      <w:r>
        <w:rPr>
          <w:rFonts w:hint="eastAsia" w:ascii="仿宋" w:hAnsi="仿宋" w:eastAsia="仿宋" w:cs="黑体"/>
          <w:color w:val="FF0000"/>
          <w:sz w:val="32"/>
          <w:szCs w:val="32"/>
        </w:rPr>
        <w:t>、生产资料、农药农资、水族渔具、床上用品、卫生</w:t>
      </w:r>
      <w:r>
        <w:rPr>
          <w:rFonts w:hint="eastAsia" w:ascii="仿宋" w:hAnsi="仿宋" w:eastAsia="仿宋" w:cs="黑体"/>
          <w:color w:val="FF0000"/>
          <w:sz w:val="32"/>
          <w:szCs w:val="32"/>
          <w:lang w:eastAsia="zh-CN"/>
        </w:rPr>
        <w:t>洗化</w:t>
      </w:r>
      <w:r>
        <w:rPr>
          <w:rFonts w:hint="eastAsia" w:ascii="仿宋" w:hAnsi="仿宋" w:eastAsia="仿宋" w:cs="黑体"/>
          <w:color w:val="FF0000"/>
          <w:sz w:val="32"/>
          <w:szCs w:val="32"/>
        </w:rPr>
        <w:t>、啤酒散酒、</w:t>
      </w:r>
      <w:bookmarkStart w:id="8" w:name="_GoBack"/>
      <w:bookmarkEnd w:id="8"/>
      <w:r>
        <w:rPr>
          <w:rFonts w:hint="eastAsia" w:ascii="仿宋" w:hAnsi="仿宋" w:eastAsia="仿宋" w:cs="黑体"/>
          <w:color w:val="FF0000"/>
          <w:sz w:val="32"/>
          <w:szCs w:val="32"/>
        </w:rPr>
        <w:t>劳保用品</w:t>
      </w:r>
      <w:r>
        <w:rPr>
          <w:rFonts w:hint="eastAsia" w:ascii="仿宋_GB2312" w:hAnsi="黑体" w:eastAsia="仿宋_GB2312" w:cs="黑体"/>
          <w:sz w:val="32"/>
          <w:szCs w:val="32"/>
        </w:rPr>
        <w:t>等专业性较强，与烟草制品零售业务没有直接或间接互补营销关系的业态类型不予设置零售点。</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 xml:space="preserve">第二十条  </w:t>
      </w:r>
      <w:r>
        <w:rPr>
          <w:rFonts w:hint="eastAsia" w:ascii="仿宋_GB2312" w:hAnsi="黑体" w:eastAsia="仿宋_GB2312" w:cs="黑体"/>
          <w:sz w:val="32"/>
          <w:szCs w:val="32"/>
        </w:rPr>
        <w:t>经营模式有下列情形之一的，不予核发烟草专卖零售许可证：</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w:t>
      </w:r>
      <w:r>
        <w:rPr>
          <w:rFonts w:ascii="仿宋_GB2312" w:hAnsi="黑体" w:eastAsia="仿宋_GB2312" w:cs="黑体"/>
          <w:sz w:val="32"/>
          <w:szCs w:val="32"/>
        </w:rPr>
        <w:t>利用自动售货机（柜）</w:t>
      </w:r>
      <w:r>
        <w:rPr>
          <w:rFonts w:hint="eastAsia" w:ascii="仿宋_GB2312" w:hAnsi="黑体" w:eastAsia="仿宋_GB2312" w:cs="黑体"/>
          <w:sz w:val="32"/>
          <w:szCs w:val="32"/>
        </w:rPr>
        <w:t>或其他自动售货方式</w:t>
      </w:r>
      <w:r>
        <w:rPr>
          <w:rFonts w:ascii="仿宋_GB2312" w:hAnsi="黑体" w:eastAsia="仿宋_GB2312" w:cs="黑体"/>
          <w:sz w:val="32"/>
          <w:szCs w:val="32"/>
        </w:rPr>
        <w:t>销售烟草制品</w:t>
      </w:r>
      <w:r>
        <w:rPr>
          <w:rFonts w:hint="eastAsia" w:ascii="仿宋_GB2312" w:hAnsi="黑体" w:eastAsia="仿宋_GB2312" w:cs="黑体"/>
          <w:sz w:val="32"/>
          <w:szCs w:val="32"/>
        </w:rPr>
        <w:t>的；</w:t>
      </w:r>
    </w:p>
    <w:p>
      <w:pPr>
        <w:adjustRightInd w:val="0"/>
        <w:snapToGrid w:val="0"/>
        <w:spacing w:line="360" w:lineRule="auto"/>
        <w:ind w:firstLine="640" w:firstLineChars="200"/>
        <w:rPr>
          <w:rFonts w:ascii="仿宋_GB2312" w:hAnsi="黑体" w:eastAsia="仿宋_GB2312" w:cs="黑体"/>
          <w:sz w:val="32"/>
          <w:szCs w:val="32"/>
          <w:highlight w:val="yellow"/>
        </w:rPr>
      </w:pPr>
      <w:bookmarkStart w:id="7" w:name="_Hlk136436710"/>
      <w:r>
        <w:rPr>
          <w:rFonts w:hint="eastAsia" w:ascii="仿宋_GB2312" w:hAnsi="黑体" w:eastAsia="仿宋_GB2312" w:cs="黑体"/>
          <w:sz w:val="32"/>
          <w:szCs w:val="32"/>
        </w:rPr>
        <w:t>（二）以无人售货等形式（含间断性无人现场值守）的自助商店、远程经营商店性质销售烟草制品的；</w:t>
      </w:r>
    </w:p>
    <w:bookmarkEnd w:id="7"/>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（三）以游戏、博彩等方式经营烟草制品的；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w:t>
      </w:r>
      <w:r>
        <w:rPr>
          <w:rFonts w:ascii="仿宋_GB2312" w:hAnsi="黑体" w:eastAsia="仿宋_GB2312" w:cs="黑体"/>
          <w:sz w:val="32"/>
          <w:szCs w:val="32"/>
        </w:rPr>
        <w:t>通过信息网络销售烟草制品的</w:t>
      </w:r>
      <w:r>
        <w:rPr>
          <w:rFonts w:hint="eastAsia" w:ascii="仿宋_GB2312" w:hAnsi="黑体" w:eastAsia="仿宋_GB2312" w:cs="黑体"/>
          <w:sz w:val="32"/>
          <w:szCs w:val="32"/>
        </w:rPr>
        <w:t>；</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（五）</w:t>
      </w:r>
      <w:r>
        <w:rPr>
          <w:rFonts w:ascii="仿宋_GB2312" w:hAnsi="黑体" w:eastAsia="仿宋_GB2312" w:cs="黑体"/>
          <w:sz w:val="32"/>
          <w:szCs w:val="32"/>
        </w:rPr>
        <w:t>其他依法不得从事烟草制品零售业务的情形。</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 xml:space="preserve">第二十一条  </w:t>
      </w:r>
      <w:r>
        <w:rPr>
          <w:rFonts w:hint="eastAsia" w:ascii="仿宋_GB2312" w:hAnsi="黑体" w:eastAsia="仿宋_GB2312" w:cs="黑体"/>
          <w:sz w:val="32"/>
          <w:szCs w:val="32"/>
        </w:rPr>
        <w:t>除经营场所的安全要求和中小学、幼儿园周围的限制规定外，本规定不溯及已持有烟草专卖零售许可证的零售户。</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第二十二条</w:t>
      </w:r>
      <w:r>
        <w:rPr>
          <w:rFonts w:hint="eastAsia" w:ascii="仿宋_GB2312" w:hAnsi="黑体" w:eastAsia="仿宋_GB2312" w:cs="黑体"/>
          <w:b/>
          <w:bCs/>
          <w:sz w:val="32"/>
          <w:szCs w:val="32"/>
        </w:rPr>
        <w:t xml:space="preserve">  </w:t>
      </w:r>
      <w:r>
        <w:rPr>
          <w:rFonts w:hint="eastAsia" w:ascii="仿宋_GB2312" w:hAnsi="黑体" w:eastAsia="仿宋_GB2312" w:cs="黑体"/>
          <w:sz w:val="32"/>
          <w:szCs w:val="32"/>
        </w:rPr>
        <w:t>本规定下列用语的含义：</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固定经营场所”，是指用于商品销售、存储的不可移动且合法使用的场所,不包括住宅、公寓或其附属的地下室、储藏室、车库、门卫值班室、物业办公室等，也不包含流动摊点（车、棚）、违章建筑、临时建筑物（建筑工地除外）等。但申请人用于存放烟草制品的储藏室、仓库等空间视为经营场所，应当在实地核查时予以明确。</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（二）“与住所相独立”，是指经营场所与生活居住场所在物理空间上隔离且有明确的区域界线。</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（三）“中、小学校”，是指普通中小学、特殊教育学校、中等职业学校、专门学校。</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（四）“幼儿园”，是指经教育行政部门审批注册的对学龄前幼儿实施教育的机构。</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（五）“具备商品售卖条件”，是指已经依法取得营业执照，设置商品展示零售的柜台或货架，明确存储位置或场所，具备正常开展经营活动的条件。</w:t>
      </w:r>
    </w:p>
    <w:p>
      <w:pPr>
        <w:adjustRightInd w:val="0"/>
        <w:snapToGrid w:val="0"/>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（六）“间距”，是指申请点与最近零售点或中小学、幼儿园进出通道口之间依法可通行的最短距离。</w:t>
      </w:r>
    </w:p>
    <w:p>
      <w:pPr>
        <w:adjustRightInd w:val="0"/>
        <w:snapToGrid w:val="0"/>
        <w:spacing w:line="360" w:lineRule="auto"/>
        <w:ind w:firstLine="640" w:firstLineChars="200"/>
        <w:rPr>
          <w:rFonts w:ascii="仿宋_GB2312" w:hAnsi="仿宋" w:eastAsia="仿宋_GB2312" w:cs="仿宋_GB2312"/>
          <w:sz w:val="32"/>
          <w:szCs w:val="32"/>
          <w:highlight w:val="yellow"/>
        </w:rPr>
      </w:pPr>
      <w:r>
        <w:rPr>
          <w:rFonts w:hint="eastAsia" w:ascii="仿宋_GB2312" w:hAnsi="仿宋" w:eastAsia="仿宋_GB2312" w:cs="仿宋_GB2312"/>
          <w:sz w:val="32"/>
          <w:szCs w:val="32"/>
        </w:rPr>
        <w:t>（七）“本人实际经营”，即本人实际参与进货、定价、资金管理等核心经营环节，可由配偶、子女、父母驻店辅助经营，并从中获得主要经营收益。合伙经营、雇佣经营不视为本人实际经营。</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 xml:space="preserve">第二十三条 </w:t>
      </w:r>
      <w:r>
        <w:rPr>
          <w:rFonts w:hint="eastAsia" w:ascii="仿宋_GB2312" w:hAnsi="黑体" w:eastAsia="仿宋_GB2312" w:cs="黑体"/>
          <w:b/>
          <w:bCs/>
          <w:sz w:val="32"/>
          <w:szCs w:val="32"/>
        </w:rPr>
        <w:t xml:space="preserve"> </w:t>
      </w:r>
      <w:r>
        <w:rPr>
          <w:rFonts w:hint="eastAsia" w:ascii="仿宋_GB2312" w:hAnsi="黑体" w:eastAsia="仿宋_GB2312" w:cs="黑体"/>
          <w:sz w:val="32"/>
          <w:szCs w:val="32"/>
        </w:rPr>
        <w:t>市场单元零售点规划数量、间距标准每年通过公示栏、政府网站予以公布，可根据实际情况调整公布时间和频次。</w:t>
      </w:r>
    </w:p>
    <w:p>
      <w:pPr>
        <w:spacing w:line="360" w:lineRule="auto"/>
        <w:ind w:firstLine="640" w:firstLineChars="200"/>
        <w:rPr>
          <w:rFonts w:ascii="仿宋_GB2312" w:hAnsi="黑体" w:eastAsia="仿宋_GB2312" w:cs="黑体"/>
          <w:sz w:val="32"/>
          <w:szCs w:val="32"/>
        </w:rPr>
      </w:pPr>
      <w:r>
        <w:rPr>
          <w:rFonts w:hint="eastAsia" w:ascii="仿宋_GB2312" w:hAnsi="黑体" w:eastAsia="仿宋_GB2312" w:cs="黑体"/>
          <w:sz w:val="32"/>
          <w:szCs w:val="32"/>
        </w:rPr>
        <w:t>申请人轮候排序情况实时通过汶上县政务服务大厅公示栏、电子查询系统或互联网等方式予以公示。</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第二十四条</w:t>
      </w:r>
      <w:r>
        <w:rPr>
          <w:rFonts w:hint="eastAsia" w:ascii="仿宋" w:hAnsi="仿宋" w:eastAsia="仿宋" w:cs="仿宋_GB2312"/>
          <w:sz w:val="32"/>
          <w:szCs w:val="32"/>
        </w:rPr>
        <w:t xml:space="preserve">  </w:t>
      </w:r>
      <w:r>
        <w:rPr>
          <w:rFonts w:hint="eastAsia" w:ascii="仿宋_GB2312" w:hAnsi="黑体" w:eastAsia="仿宋_GB2312" w:cs="黑体"/>
          <w:sz w:val="32"/>
          <w:szCs w:val="32"/>
        </w:rPr>
        <w:t>本规定中“以上”、“以内”包括本数，“超过”不包括本数。</w:t>
      </w:r>
    </w:p>
    <w:p>
      <w:pPr>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第二十五条</w:t>
      </w:r>
      <w:r>
        <w:rPr>
          <w:rFonts w:hint="eastAsia" w:ascii="仿宋" w:hAnsi="仿宋" w:eastAsia="仿宋" w:cs="仿宋_GB2312"/>
          <w:sz w:val="32"/>
          <w:szCs w:val="32"/>
        </w:rPr>
        <w:t xml:space="preserve">  </w:t>
      </w:r>
      <w:r>
        <w:rPr>
          <w:rFonts w:hint="eastAsia" w:ascii="仿宋_GB2312" w:hAnsi="黑体" w:eastAsia="仿宋_GB2312" w:cs="黑体"/>
          <w:sz w:val="32"/>
          <w:szCs w:val="32"/>
        </w:rPr>
        <w:t>本规定在实施过程中，法律、法规、规章及上级主管部门制定的规范性文件另有规定的，从其规定。</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第二十六条</w:t>
      </w:r>
      <w:r>
        <w:rPr>
          <w:rFonts w:hint="eastAsia" w:ascii="仿宋" w:hAnsi="仿宋" w:eastAsia="仿宋" w:cs="仿宋_GB2312"/>
          <w:sz w:val="32"/>
          <w:szCs w:val="32"/>
        </w:rPr>
        <w:t xml:space="preserve">  </w:t>
      </w:r>
      <w:r>
        <w:rPr>
          <w:rFonts w:hint="eastAsia" w:ascii="仿宋_GB2312" w:hAnsi="黑体" w:eastAsia="仿宋_GB2312" w:cs="黑体"/>
          <w:sz w:val="32"/>
          <w:szCs w:val="32"/>
        </w:rPr>
        <w:t>本规定由汶上县烟草专卖局负责解释。</w:t>
      </w:r>
    </w:p>
    <w:p>
      <w:pPr>
        <w:adjustRightInd w:val="0"/>
        <w:snapToGrid w:val="0"/>
        <w:spacing w:line="360" w:lineRule="auto"/>
        <w:ind w:firstLine="640" w:firstLineChars="200"/>
        <w:rPr>
          <w:rFonts w:ascii="仿宋_GB2312" w:hAnsi="黑体" w:eastAsia="仿宋_GB2312" w:cs="黑体"/>
          <w:sz w:val="32"/>
          <w:szCs w:val="32"/>
        </w:rPr>
      </w:pPr>
      <w:r>
        <w:rPr>
          <w:rFonts w:hint="eastAsia" w:ascii="黑体" w:hAnsi="黑体" w:eastAsia="黑体" w:cs="仿宋_GB2312"/>
          <w:sz w:val="32"/>
          <w:szCs w:val="32"/>
        </w:rPr>
        <w:t>第二十七条</w:t>
      </w:r>
      <w:r>
        <w:rPr>
          <w:rFonts w:hint="eastAsia" w:ascii="仿宋" w:hAnsi="仿宋" w:eastAsia="仿宋" w:cs="仿宋_GB2312"/>
          <w:sz w:val="32"/>
          <w:szCs w:val="32"/>
        </w:rPr>
        <w:t xml:space="preserve">  </w:t>
      </w:r>
      <w:r>
        <w:rPr>
          <w:rFonts w:hint="eastAsia" w:ascii="仿宋_GB2312" w:hAnsi="黑体" w:eastAsia="仿宋_GB2312" w:cs="黑体"/>
          <w:sz w:val="32"/>
          <w:szCs w:val="32"/>
        </w:rPr>
        <w:t>本规定自202X年X月X日起施行，有效期至 20XX 年X月X日。202X年X月X日施行的《汶上县烟草制品零售点合理布局规定》（汶烟专〔2024〕1号）同时废止。</w:t>
      </w:r>
    </w:p>
    <w:p>
      <w:pPr>
        <w:spacing w:line="360" w:lineRule="auto"/>
        <w:ind w:left="1918" w:leftChars="304" w:hanging="1280" w:hangingChars="400"/>
        <w:rPr>
          <w:rFonts w:ascii="仿宋_GB2312" w:hAnsi="仿宋_GB2312" w:eastAsia="仿宋_GB2312" w:cs="仿宋_GB2312"/>
          <w:sz w:val="32"/>
          <w:szCs w:val="32"/>
        </w:rPr>
      </w:pPr>
      <w:r>
        <w:rPr>
          <w:rFonts w:hint="eastAsia" w:ascii="仿宋_GB2312" w:hAnsi="仿宋_GB2312" w:eastAsia="仿宋_GB2312" w:cs="仿宋_GB2312"/>
          <w:sz w:val="32"/>
          <w:szCs w:val="32"/>
        </w:rPr>
        <w:t>附件：1.《汶上县烟草专卖局市场单元烟草制品零售点布局规划明细表》</w:t>
      </w:r>
    </w:p>
    <w:p>
      <w:pPr>
        <w:spacing w:line="360" w:lineRule="auto"/>
        <w:ind w:left="2076" w:leftChars="760" w:hanging="480" w:hangingChars="150"/>
        <w:rPr>
          <w:rFonts w:ascii="仿宋_GB2312" w:hAnsi="仿宋_GB2312" w:eastAsia="仿宋_GB2312" w:cs="仿宋_GB2312"/>
          <w:sz w:val="32"/>
          <w:szCs w:val="32"/>
        </w:rPr>
      </w:pPr>
      <w:r>
        <w:rPr>
          <w:rFonts w:hint="eastAsia" w:ascii="仿宋_GB2312" w:hAnsi="仿宋_GB2312" w:eastAsia="仿宋_GB2312" w:cs="仿宋_GB2312"/>
          <w:sz w:val="32"/>
          <w:szCs w:val="32"/>
        </w:rPr>
        <w:t>2.《汶上县烟草专卖局烟草制品零售点间距测量规则及标准》</w:t>
      </w:r>
    </w:p>
    <w:p>
      <w:pPr>
        <w:spacing w:line="360" w:lineRule="auto"/>
        <w:ind w:firstLine="640" w:firstLineChars="200"/>
        <w:rPr>
          <w:rFonts w:ascii="仿宋_GB2312" w:hAnsi="黑体" w:eastAsia="仿宋_GB2312" w:cs="黑体"/>
          <w:sz w:val="32"/>
          <w:szCs w:val="32"/>
        </w:rPr>
      </w:pPr>
    </w:p>
    <w:p>
      <w:pPr>
        <w:adjustRightInd w:val="0"/>
        <w:snapToGrid w:val="0"/>
        <w:spacing w:line="360" w:lineRule="auto"/>
        <w:ind w:firstLine="640" w:firstLineChars="200"/>
        <w:rPr>
          <w:rFonts w:ascii="仿宋_GB2312" w:hAnsi="仿宋" w:eastAsia="仿宋_GB2312" w:cs="仿宋_GB2312"/>
          <w:sz w:val="32"/>
          <w:szCs w:val="32"/>
        </w:rPr>
      </w:pPr>
    </w:p>
    <w:p>
      <w:pPr>
        <w:adjustRightInd w:val="0"/>
        <w:snapToGrid w:val="0"/>
        <w:spacing w:line="560" w:lineRule="exact"/>
        <w:ind w:firstLine="640" w:firstLineChars="200"/>
        <w:rPr>
          <w:rFonts w:ascii="仿宋_GB2312" w:hAnsi="黑体" w:eastAsia="仿宋_GB2312" w:cs="黑体"/>
          <w:sz w:val="32"/>
          <w:szCs w:val="32"/>
        </w:rPr>
      </w:pPr>
    </w:p>
    <w:p>
      <w:pPr>
        <w:pStyle w:val="3"/>
        <w:widowControl/>
        <w:spacing w:line="560" w:lineRule="exact"/>
        <w:ind w:firstLine="640"/>
        <w:rPr>
          <w:rFonts w:hint="default" w:ascii="仿宋_GB2312" w:eastAsia="仿宋_GB2312" w:cs="仿宋_GB2312"/>
          <w:color w:val="000000"/>
          <w:sz w:val="31"/>
          <w:szCs w:val="31"/>
        </w:rPr>
      </w:pPr>
    </w:p>
    <w:p>
      <w:pPr>
        <w:adjustRightInd w:val="0"/>
        <w:snapToGrid w:val="0"/>
        <w:spacing w:line="560" w:lineRule="exact"/>
        <w:ind w:firstLine="640" w:firstLineChars="200"/>
        <w:rPr>
          <w:rFonts w:ascii="仿宋_GB2312" w:hAnsi="仿宋_GB2312" w:eastAsia="仿宋_GB2312" w:cs="仿宋_GB2312"/>
          <w:sz w:val="32"/>
          <w:szCs w:val="32"/>
        </w:rPr>
      </w:pPr>
    </w:p>
    <w:p>
      <w:pPr>
        <w:adjustRightInd w:val="0"/>
        <w:snapToGrid w:val="0"/>
        <w:spacing w:line="560" w:lineRule="exact"/>
        <w:ind w:firstLine="640" w:firstLineChars="200"/>
        <w:rPr>
          <w:rFonts w:ascii="仿宋_GB2312" w:hAnsi="仿宋" w:eastAsia="仿宋_GB2312" w:cs="仿宋_GB2312"/>
          <w:sz w:val="32"/>
          <w:szCs w:val="32"/>
        </w:rPr>
      </w:pPr>
    </w:p>
    <w:p>
      <w:pPr>
        <w:adjustRightInd w:val="0"/>
        <w:snapToGrid w:val="0"/>
        <w:spacing w:line="560" w:lineRule="exact"/>
        <w:ind w:firstLine="640" w:firstLineChars="200"/>
        <w:rPr>
          <w:rFonts w:ascii="仿宋_GB2312" w:hAnsi="黑体" w:eastAsia="仿宋_GB2312" w:cs="黑体"/>
          <w:sz w:val="32"/>
          <w:szCs w:val="32"/>
        </w:rPr>
      </w:pPr>
    </w:p>
    <w:p>
      <w:pPr>
        <w:adjustRightInd w:val="0"/>
        <w:snapToGrid w:val="0"/>
        <w:spacing w:line="560" w:lineRule="exact"/>
        <w:ind w:firstLine="640" w:firstLineChars="200"/>
        <w:rPr>
          <w:rFonts w:ascii="仿宋_GB2312" w:hAnsi="仿宋" w:eastAsia="仿宋_GB2312" w:cs="仿宋_GB2312"/>
          <w:sz w:val="32"/>
          <w:szCs w:val="32"/>
        </w:rPr>
      </w:pPr>
    </w:p>
    <w:p>
      <w:pPr>
        <w:adjustRightInd w:val="0"/>
        <w:snapToGrid w:val="0"/>
        <w:spacing w:line="560" w:lineRule="exact"/>
        <w:ind w:firstLine="640" w:firstLineChars="200"/>
        <w:rPr>
          <w:rFonts w:ascii="仿宋_GB2312" w:hAnsi="仿宋" w:eastAsia="仿宋_GB2312" w:cs="仿宋_GB2312"/>
          <w:sz w:val="32"/>
          <w:szCs w:val="32"/>
        </w:rPr>
      </w:pPr>
    </w:p>
    <w:p>
      <w:pPr>
        <w:adjustRightInd w:val="0"/>
        <w:snapToGrid w:val="0"/>
        <w:spacing w:line="560" w:lineRule="exact"/>
        <w:ind w:firstLine="640" w:firstLineChars="200"/>
        <w:rPr>
          <w:rFonts w:ascii="仿宋_GB2312" w:hAnsi="仿宋" w:eastAsia="仿宋_GB2312" w:cs="仿宋_GB2312"/>
          <w:sz w:val="32"/>
          <w:szCs w:val="32"/>
        </w:rPr>
      </w:pPr>
    </w:p>
    <w:p>
      <w:pPr>
        <w:pStyle w:val="4"/>
        <w:widowControl/>
        <w:spacing w:before="150" w:beforeAutospacing="0" w:afterAutospacing="0" w:line="560" w:lineRule="exact"/>
        <w:ind w:firstLine="420"/>
        <w:rPr>
          <w:rFonts w:ascii="方正小标宋简体" w:hAnsi="方正小标宋简体" w:eastAsia="方正小标宋简体" w:cs="方正小标宋简体"/>
          <w:color w:val="333333"/>
          <w:sz w:val="32"/>
          <w:szCs w:val="32"/>
          <w:shd w:val="clear" w:color="auto" w:fill="FFFFFF"/>
        </w:rPr>
      </w:pPr>
    </w:p>
    <w:p>
      <w:pPr>
        <w:spacing w:line="560" w:lineRule="exact"/>
      </w:pPr>
    </w:p>
    <w:sectPr>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487CE3"/>
    <w:rsid w:val="000E51CB"/>
    <w:rsid w:val="00193553"/>
    <w:rsid w:val="00247962"/>
    <w:rsid w:val="002A71A6"/>
    <w:rsid w:val="002C1453"/>
    <w:rsid w:val="003260F7"/>
    <w:rsid w:val="003733C6"/>
    <w:rsid w:val="005D37BA"/>
    <w:rsid w:val="007212F1"/>
    <w:rsid w:val="00975148"/>
    <w:rsid w:val="00985A4A"/>
    <w:rsid w:val="009A3F4E"/>
    <w:rsid w:val="009F3338"/>
    <w:rsid w:val="00A41E92"/>
    <w:rsid w:val="00D0022E"/>
    <w:rsid w:val="00D309DA"/>
    <w:rsid w:val="00E24D76"/>
    <w:rsid w:val="00F83BC6"/>
    <w:rsid w:val="00FC7BAB"/>
    <w:rsid w:val="00FF14DB"/>
    <w:rsid w:val="010B22B0"/>
    <w:rsid w:val="0147778C"/>
    <w:rsid w:val="01B14C06"/>
    <w:rsid w:val="01E0373D"/>
    <w:rsid w:val="021138F7"/>
    <w:rsid w:val="02375428"/>
    <w:rsid w:val="028265A2"/>
    <w:rsid w:val="0313544C"/>
    <w:rsid w:val="03B95FF4"/>
    <w:rsid w:val="03C2134C"/>
    <w:rsid w:val="03D33559"/>
    <w:rsid w:val="03FD05D6"/>
    <w:rsid w:val="04253689"/>
    <w:rsid w:val="044347AA"/>
    <w:rsid w:val="04CE1F73"/>
    <w:rsid w:val="04FC263C"/>
    <w:rsid w:val="05055969"/>
    <w:rsid w:val="053A3164"/>
    <w:rsid w:val="0575419C"/>
    <w:rsid w:val="05B253F0"/>
    <w:rsid w:val="05CC0260"/>
    <w:rsid w:val="05D023E5"/>
    <w:rsid w:val="06021ED4"/>
    <w:rsid w:val="06367DD0"/>
    <w:rsid w:val="0664493D"/>
    <w:rsid w:val="06D118A6"/>
    <w:rsid w:val="06E415DA"/>
    <w:rsid w:val="06F2019A"/>
    <w:rsid w:val="071A149F"/>
    <w:rsid w:val="071C5217"/>
    <w:rsid w:val="077C7A64"/>
    <w:rsid w:val="089A4646"/>
    <w:rsid w:val="08D86F1C"/>
    <w:rsid w:val="08FA6E92"/>
    <w:rsid w:val="090D39E7"/>
    <w:rsid w:val="095F763D"/>
    <w:rsid w:val="09646A02"/>
    <w:rsid w:val="09864BCA"/>
    <w:rsid w:val="09A908B8"/>
    <w:rsid w:val="09B71227"/>
    <w:rsid w:val="0A1E4E03"/>
    <w:rsid w:val="0A3B3C06"/>
    <w:rsid w:val="0B2E72C7"/>
    <w:rsid w:val="0B422D73"/>
    <w:rsid w:val="0BC639A4"/>
    <w:rsid w:val="0BCB2D68"/>
    <w:rsid w:val="0BF71DAF"/>
    <w:rsid w:val="0C11127E"/>
    <w:rsid w:val="0C2D57D1"/>
    <w:rsid w:val="0CF307C8"/>
    <w:rsid w:val="0D11109F"/>
    <w:rsid w:val="0D3F5540"/>
    <w:rsid w:val="0D5B0206"/>
    <w:rsid w:val="0E1924B1"/>
    <w:rsid w:val="0E230C39"/>
    <w:rsid w:val="0E3E5A73"/>
    <w:rsid w:val="0E7C659C"/>
    <w:rsid w:val="0E8D07A9"/>
    <w:rsid w:val="0E9438E5"/>
    <w:rsid w:val="0ECC307F"/>
    <w:rsid w:val="0EE7610B"/>
    <w:rsid w:val="0F0E18EA"/>
    <w:rsid w:val="0F553F03"/>
    <w:rsid w:val="10030D22"/>
    <w:rsid w:val="101A6B79"/>
    <w:rsid w:val="10B71B0D"/>
    <w:rsid w:val="116752E1"/>
    <w:rsid w:val="118045F5"/>
    <w:rsid w:val="11B147AE"/>
    <w:rsid w:val="11EB7CC0"/>
    <w:rsid w:val="12274A70"/>
    <w:rsid w:val="122D7E36"/>
    <w:rsid w:val="12887C05"/>
    <w:rsid w:val="12EA61CA"/>
    <w:rsid w:val="13AC7923"/>
    <w:rsid w:val="14453B20"/>
    <w:rsid w:val="145E0C1D"/>
    <w:rsid w:val="149F2FE4"/>
    <w:rsid w:val="14EF1875"/>
    <w:rsid w:val="15023C9F"/>
    <w:rsid w:val="15325C06"/>
    <w:rsid w:val="1547312A"/>
    <w:rsid w:val="15477903"/>
    <w:rsid w:val="15966195"/>
    <w:rsid w:val="15B11221"/>
    <w:rsid w:val="15CA22E2"/>
    <w:rsid w:val="162639BD"/>
    <w:rsid w:val="163B0AEA"/>
    <w:rsid w:val="16C46D32"/>
    <w:rsid w:val="17854713"/>
    <w:rsid w:val="179D7CAF"/>
    <w:rsid w:val="17C52D61"/>
    <w:rsid w:val="17D31922"/>
    <w:rsid w:val="17F84EE5"/>
    <w:rsid w:val="18041ADC"/>
    <w:rsid w:val="1824217E"/>
    <w:rsid w:val="18365A0D"/>
    <w:rsid w:val="187C78C4"/>
    <w:rsid w:val="18A706B9"/>
    <w:rsid w:val="18C35823"/>
    <w:rsid w:val="19094ED0"/>
    <w:rsid w:val="190D676E"/>
    <w:rsid w:val="19362169"/>
    <w:rsid w:val="1968609A"/>
    <w:rsid w:val="19FB6F0E"/>
    <w:rsid w:val="1A255D39"/>
    <w:rsid w:val="1ABF7F3C"/>
    <w:rsid w:val="1ADA4D76"/>
    <w:rsid w:val="1B617245"/>
    <w:rsid w:val="1B666609"/>
    <w:rsid w:val="1B9C027D"/>
    <w:rsid w:val="1BD6378F"/>
    <w:rsid w:val="1C0F6CA1"/>
    <w:rsid w:val="1C487CE3"/>
    <w:rsid w:val="1C5B5A42"/>
    <w:rsid w:val="1C782A98"/>
    <w:rsid w:val="1C872CDB"/>
    <w:rsid w:val="1CD12E86"/>
    <w:rsid w:val="1DD123E6"/>
    <w:rsid w:val="1E0A7720"/>
    <w:rsid w:val="1E1E31CB"/>
    <w:rsid w:val="1E3B5B2B"/>
    <w:rsid w:val="1EAC4C7B"/>
    <w:rsid w:val="1EEA12FF"/>
    <w:rsid w:val="1FAD0CAB"/>
    <w:rsid w:val="20014B53"/>
    <w:rsid w:val="206D21E8"/>
    <w:rsid w:val="20827A42"/>
    <w:rsid w:val="208337BA"/>
    <w:rsid w:val="20AF45AF"/>
    <w:rsid w:val="20B56069"/>
    <w:rsid w:val="20C938C2"/>
    <w:rsid w:val="213A031C"/>
    <w:rsid w:val="219C0FD7"/>
    <w:rsid w:val="219D08AB"/>
    <w:rsid w:val="22105521"/>
    <w:rsid w:val="22B97967"/>
    <w:rsid w:val="232079E6"/>
    <w:rsid w:val="23671171"/>
    <w:rsid w:val="244119C2"/>
    <w:rsid w:val="244B0A92"/>
    <w:rsid w:val="24743B45"/>
    <w:rsid w:val="24961D0D"/>
    <w:rsid w:val="255319AC"/>
    <w:rsid w:val="25787665"/>
    <w:rsid w:val="259C15A5"/>
    <w:rsid w:val="25A42208"/>
    <w:rsid w:val="26355556"/>
    <w:rsid w:val="27135897"/>
    <w:rsid w:val="272E26D1"/>
    <w:rsid w:val="27893DAB"/>
    <w:rsid w:val="27934C2A"/>
    <w:rsid w:val="27DF5779"/>
    <w:rsid w:val="27E56B08"/>
    <w:rsid w:val="284877C3"/>
    <w:rsid w:val="286D547B"/>
    <w:rsid w:val="28A54C15"/>
    <w:rsid w:val="29211DC2"/>
    <w:rsid w:val="294F4B81"/>
    <w:rsid w:val="2A070FB7"/>
    <w:rsid w:val="2A1F4553"/>
    <w:rsid w:val="2A7E571E"/>
    <w:rsid w:val="2AA333D6"/>
    <w:rsid w:val="2AC86999"/>
    <w:rsid w:val="2ACA7640"/>
    <w:rsid w:val="2AF61A56"/>
    <w:rsid w:val="2B200583"/>
    <w:rsid w:val="2B4A5600"/>
    <w:rsid w:val="2B5D3585"/>
    <w:rsid w:val="2B6F150A"/>
    <w:rsid w:val="2B717030"/>
    <w:rsid w:val="2BF0264B"/>
    <w:rsid w:val="2C11611D"/>
    <w:rsid w:val="2C8608B9"/>
    <w:rsid w:val="2C9A6113"/>
    <w:rsid w:val="2CAF6062"/>
    <w:rsid w:val="2CBC42DB"/>
    <w:rsid w:val="2D1C7470"/>
    <w:rsid w:val="2D263E4A"/>
    <w:rsid w:val="2D75459A"/>
    <w:rsid w:val="2D7E3C87"/>
    <w:rsid w:val="2D8017AD"/>
    <w:rsid w:val="2DA059AB"/>
    <w:rsid w:val="2E7C6418"/>
    <w:rsid w:val="2E975D9B"/>
    <w:rsid w:val="2EBA2A9C"/>
    <w:rsid w:val="2F25085E"/>
    <w:rsid w:val="2F2A7C22"/>
    <w:rsid w:val="2F3E547B"/>
    <w:rsid w:val="2F5A7DDB"/>
    <w:rsid w:val="2F9037FD"/>
    <w:rsid w:val="2FBD5E1E"/>
    <w:rsid w:val="2FF63A03"/>
    <w:rsid w:val="30240B15"/>
    <w:rsid w:val="309D4424"/>
    <w:rsid w:val="32140715"/>
    <w:rsid w:val="324E3C27"/>
    <w:rsid w:val="32A01FA9"/>
    <w:rsid w:val="32C043F9"/>
    <w:rsid w:val="32DF0D23"/>
    <w:rsid w:val="3304078A"/>
    <w:rsid w:val="335A484E"/>
    <w:rsid w:val="33A37FA3"/>
    <w:rsid w:val="33A61841"/>
    <w:rsid w:val="342E1F62"/>
    <w:rsid w:val="347D6A46"/>
    <w:rsid w:val="348A2F11"/>
    <w:rsid w:val="34F860CC"/>
    <w:rsid w:val="35AD6EB7"/>
    <w:rsid w:val="36237179"/>
    <w:rsid w:val="36E0150E"/>
    <w:rsid w:val="376C4B50"/>
    <w:rsid w:val="378620B5"/>
    <w:rsid w:val="37C30C14"/>
    <w:rsid w:val="37C87FD8"/>
    <w:rsid w:val="38084878"/>
    <w:rsid w:val="380B4369"/>
    <w:rsid w:val="381C47C8"/>
    <w:rsid w:val="38485EC8"/>
    <w:rsid w:val="386677F1"/>
    <w:rsid w:val="386C3059"/>
    <w:rsid w:val="38C369F1"/>
    <w:rsid w:val="390A4620"/>
    <w:rsid w:val="39400042"/>
    <w:rsid w:val="39673821"/>
    <w:rsid w:val="39AA1548"/>
    <w:rsid w:val="39F72DF7"/>
    <w:rsid w:val="3A6A7A6C"/>
    <w:rsid w:val="3AE113B1"/>
    <w:rsid w:val="3C85293C"/>
    <w:rsid w:val="3D491BBB"/>
    <w:rsid w:val="3DCB25D0"/>
    <w:rsid w:val="3E083824"/>
    <w:rsid w:val="3EE33949"/>
    <w:rsid w:val="3EEB0A50"/>
    <w:rsid w:val="3EFB5137"/>
    <w:rsid w:val="3F2A5A1C"/>
    <w:rsid w:val="3F340649"/>
    <w:rsid w:val="3F88629F"/>
    <w:rsid w:val="3F8F762D"/>
    <w:rsid w:val="3FA20E7C"/>
    <w:rsid w:val="3FB452E6"/>
    <w:rsid w:val="3FFF9406"/>
    <w:rsid w:val="404B79F8"/>
    <w:rsid w:val="40A315E2"/>
    <w:rsid w:val="41393CF5"/>
    <w:rsid w:val="41594397"/>
    <w:rsid w:val="4165231B"/>
    <w:rsid w:val="41931657"/>
    <w:rsid w:val="41C77552"/>
    <w:rsid w:val="423B584A"/>
    <w:rsid w:val="426052B1"/>
    <w:rsid w:val="433429C6"/>
    <w:rsid w:val="43456981"/>
    <w:rsid w:val="44890AEF"/>
    <w:rsid w:val="451900C5"/>
    <w:rsid w:val="455530C7"/>
    <w:rsid w:val="45905EAD"/>
    <w:rsid w:val="460C19D8"/>
    <w:rsid w:val="4651388E"/>
    <w:rsid w:val="46F72688"/>
    <w:rsid w:val="470E352E"/>
    <w:rsid w:val="471C3E9C"/>
    <w:rsid w:val="482F19AD"/>
    <w:rsid w:val="4860600B"/>
    <w:rsid w:val="496B110B"/>
    <w:rsid w:val="49C64593"/>
    <w:rsid w:val="49F7A75C"/>
    <w:rsid w:val="4A1B668D"/>
    <w:rsid w:val="4AA20615"/>
    <w:rsid w:val="4AAC3789"/>
    <w:rsid w:val="4B3B68BB"/>
    <w:rsid w:val="4BB5666E"/>
    <w:rsid w:val="4C6D6F48"/>
    <w:rsid w:val="4C7D53DD"/>
    <w:rsid w:val="4C8147A2"/>
    <w:rsid w:val="4C856040"/>
    <w:rsid w:val="4C871DB8"/>
    <w:rsid w:val="4D453A21"/>
    <w:rsid w:val="4D6E2F78"/>
    <w:rsid w:val="4DD35846"/>
    <w:rsid w:val="4DF416CF"/>
    <w:rsid w:val="4E4C2DF2"/>
    <w:rsid w:val="4E916F1E"/>
    <w:rsid w:val="4EB8094F"/>
    <w:rsid w:val="4EF43951"/>
    <w:rsid w:val="4F127982"/>
    <w:rsid w:val="4FB54E8E"/>
    <w:rsid w:val="4FC9BD56"/>
    <w:rsid w:val="500D0826"/>
    <w:rsid w:val="50707007"/>
    <w:rsid w:val="50C8299F"/>
    <w:rsid w:val="512C73D2"/>
    <w:rsid w:val="51A46F68"/>
    <w:rsid w:val="52102850"/>
    <w:rsid w:val="522D51B0"/>
    <w:rsid w:val="52A35472"/>
    <w:rsid w:val="52CA0C50"/>
    <w:rsid w:val="52E55A8A"/>
    <w:rsid w:val="53206AC2"/>
    <w:rsid w:val="53D578AD"/>
    <w:rsid w:val="543071D9"/>
    <w:rsid w:val="55110DB9"/>
    <w:rsid w:val="551E34D6"/>
    <w:rsid w:val="553700F3"/>
    <w:rsid w:val="55453D20"/>
    <w:rsid w:val="55820182"/>
    <w:rsid w:val="562B25AA"/>
    <w:rsid w:val="56E524FD"/>
    <w:rsid w:val="57435475"/>
    <w:rsid w:val="575907F5"/>
    <w:rsid w:val="5765719A"/>
    <w:rsid w:val="57802226"/>
    <w:rsid w:val="57835872"/>
    <w:rsid w:val="57A37CC2"/>
    <w:rsid w:val="57AA72A2"/>
    <w:rsid w:val="586475A6"/>
    <w:rsid w:val="58A261CC"/>
    <w:rsid w:val="590D7AE9"/>
    <w:rsid w:val="595B4CF8"/>
    <w:rsid w:val="597B5A9B"/>
    <w:rsid w:val="59F842F5"/>
    <w:rsid w:val="5A276988"/>
    <w:rsid w:val="5A7727FC"/>
    <w:rsid w:val="5B24111A"/>
    <w:rsid w:val="5B2E3D41"/>
    <w:rsid w:val="5B9404C9"/>
    <w:rsid w:val="5BB701E0"/>
    <w:rsid w:val="5BD91F04"/>
    <w:rsid w:val="5C2F421A"/>
    <w:rsid w:val="5C6E4D42"/>
    <w:rsid w:val="5CAB38A1"/>
    <w:rsid w:val="5D6B3030"/>
    <w:rsid w:val="5DB46785"/>
    <w:rsid w:val="5DE60909"/>
    <w:rsid w:val="5E7F4FE5"/>
    <w:rsid w:val="5E902007"/>
    <w:rsid w:val="5EB6477F"/>
    <w:rsid w:val="5EDF7832"/>
    <w:rsid w:val="5EE74938"/>
    <w:rsid w:val="5F5875E4"/>
    <w:rsid w:val="5FD72BFF"/>
    <w:rsid w:val="605B55DE"/>
    <w:rsid w:val="60667D3B"/>
    <w:rsid w:val="606F1089"/>
    <w:rsid w:val="60B42F40"/>
    <w:rsid w:val="60EC26DA"/>
    <w:rsid w:val="61882403"/>
    <w:rsid w:val="62174245"/>
    <w:rsid w:val="624B3430"/>
    <w:rsid w:val="6280757E"/>
    <w:rsid w:val="63304B00"/>
    <w:rsid w:val="635F7193"/>
    <w:rsid w:val="63ED0C43"/>
    <w:rsid w:val="64441204"/>
    <w:rsid w:val="647749B0"/>
    <w:rsid w:val="64A07A63"/>
    <w:rsid w:val="64AC28AC"/>
    <w:rsid w:val="64CA4AE0"/>
    <w:rsid w:val="656211BC"/>
    <w:rsid w:val="657E3510"/>
    <w:rsid w:val="65827169"/>
    <w:rsid w:val="65A45331"/>
    <w:rsid w:val="65C634F9"/>
    <w:rsid w:val="6618187B"/>
    <w:rsid w:val="663761A5"/>
    <w:rsid w:val="663A7A43"/>
    <w:rsid w:val="66544FA9"/>
    <w:rsid w:val="666351EC"/>
    <w:rsid w:val="66644AC0"/>
    <w:rsid w:val="668D2269"/>
    <w:rsid w:val="66AC6B93"/>
    <w:rsid w:val="66ED0F5A"/>
    <w:rsid w:val="66F61BBC"/>
    <w:rsid w:val="670C13E0"/>
    <w:rsid w:val="67256946"/>
    <w:rsid w:val="67CE48E7"/>
    <w:rsid w:val="68000819"/>
    <w:rsid w:val="682D5AB2"/>
    <w:rsid w:val="685E3EBD"/>
    <w:rsid w:val="68907DEF"/>
    <w:rsid w:val="68CD4B9F"/>
    <w:rsid w:val="68F93BE6"/>
    <w:rsid w:val="692100D5"/>
    <w:rsid w:val="69B2F13C"/>
    <w:rsid w:val="6A244C92"/>
    <w:rsid w:val="6A6E6CFE"/>
    <w:rsid w:val="6AD3537E"/>
    <w:rsid w:val="6AF44665"/>
    <w:rsid w:val="6B00125C"/>
    <w:rsid w:val="6BE0108D"/>
    <w:rsid w:val="6CA200F0"/>
    <w:rsid w:val="6D3D44A2"/>
    <w:rsid w:val="6DA85BDA"/>
    <w:rsid w:val="6DBC51E2"/>
    <w:rsid w:val="6E0C6169"/>
    <w:rsid w:val="6E49116B"/>
    <w:rsid w:val="6E6C4E5A"/>
    <w:rsid w:val="6E7C32EF"/>
    <w:rsid w:val="6E9F0D8B"/>
    <w:rsid w:val="6F484F7F"/>
    <w:rsid w:val="6F541B76"/>
    <w:rsid w:val="6F60676D"/>
    <w:rsid w:val="6F7F9E39"/>
    <w:rsid w:val="70383246"/>
    <w:rsid w:val="70567B70"/>
    <w:rsid w:val="70657DB3"/>
    <w:rsid w:val="714B22D6"/>
    <w:rsid w:val="716D5171"/>
    <w:rsid w:val="71AB5C99"/>
    <w:rsid w:val="7231619E"/>
    <w:rsid w:val="723D444A"/>
    <w:rsid w:val="72710C91"/>
    <w:rsid w:val="732950C8"/>
    <w:rsid w:val="73334198"/>
    <w:rsid w:val="73CD0149"/>
    <w:rsid w:val="73EA052A"/>
    <w:rsid w:val="74122000"/>
    <w:rsid w:val="7419513C"/>
    <w:rsid w:val="744D3038"/>
    <w:rsid w:val="74604B19"/>
    <w:rsid w:val="75023E22"/>
    <w:rsid w:val="750C6A4F"/>
    <w:rsid w:val="75387844"/>
    <w:rsid w:val="759C6025"/>
    <w:rsid w:val="75D7705D"/>
    <w:rsid w:val="75FF59A8"/>
    <w:rsid w:val="76432944"/>
    <w:rsid w:val="76C70E7F"/>
    <w:rsid w:val="76D812DE"/>
    <w:rsid w:val="77732DB5"/>
    <w:rsid w:val="77976AA4"/>
    <w:rsid w:val="77FB70C4"/>
    <w:rsid w:val="78B43685"/>
    <w:rsid w:val="78C37D6C"/>
    <w:rsid w:val="78C87131"/>
    <w:rsid w:val="7A097A01"/>
    <w:rsid w:val="7A1C14E2"/>
    <w:rsid w:val="7AC1083E"/>
    <w:rsid w:val="7B0D52CF"/>
    <w:rsid w:val="7B821819"/>
    <w:rsid w:val="7BCA64C6"/>
    <w:rsid w:val="7BE61DA8"/>
    <w:rsid w:val="7BEB5610"/>
    <w:rsid w:val="7BEC370A"/>
    <w:rsid w:val="7C084414"/>
    <w:rsid w:val="7C2E19A1"/>
    <w:rsid w:val="7C921F30"/>
    <w:rsid w:val="7D4A45B8"/>
    <w:rsid w:val="7D5D42EC"/>
    <w:rsid w:val="7DD8615C"/>
    <w:rsid w:val="7E2117BD"/>
    <w:rsid w:val="7F1135E0"/>
    <w:rsid w:val="7F201A75"/>
    <w:rsid w:val="7F3B68AE"/>
    <w:rsid w:val="7FBE4DEA"/>
    <w:rsid w:val="7FC71EF0"/>
    <w:rsid w:val="7FFB1459"/>
    <w:rsid w:val="7FFF931B"/>
    <w:rsid w:val="BFDE0977"/>
    <w:rsid w:val="E6BF81A5"/>
    <w:rsid w:val="E977158A"/>
    <w:rsid w:val="FFB7E24B"/>
    <w:rsid w:val="FFD2F63B"/>
    <w:rsid w:val="FFFAA7B7"/>
    <w:rsid w:val="FFFF6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4">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13</Pages>
  <Words>810</Words>
  <Characters>4622</Characters>
  <Lines>38</Lines>
  <Paragraphs>10</Paragraphs>
  <TotalTime>44</TotalTime>
  <ScaleCrop>false</ScaleCrop>
  <LinksUpToDate>false</LinksUpToDate>
  <CharactersWithSpaces>5422</CharactersWithSpaces>
  <Application>WPS Office_11.8.2.12380_F1E327BC-269C-435d-A152-05C5408002CA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2026-06-23T23:23:00Z</dcterms:created>
  <dc:creator>T490</dc:creator>
  <cp:lastModifiedBy>HUAWEI</cp:lastModifiedBy>
  <dcterms:modified xsi:type="dcterms:W3CDTF">2026-10-08T11:14:55Z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2052-11.8.2.12380</vt:lpwstr>
  </property>
  <property fmtid="{D5CDD505-2E9C-101B-9397-08002B2CF9AE}" pid="3" name="ICV">
    <vt:lpwstr>6F503C1AEF9F4E1E864D0609E96D03F6_13</vt:lpwstr>
  </property>
  <property fmtid="{D5CDD505-2E9C-101B-9397-08002B2CF9AE}" pid="4" name="KSOTemplateDocerSaveRecord">
    <vt:lpwstr>eyJoZGlkIjoiMzNmMzY4NGJjNGY5N2QyNTI3NGVkZjljNjZmMThhOGIiLCJ1c2VySWQiOiIzOTc3NDgzMTAifQ==</vt:lpwstr>
  </property>
</Properties>
</file>