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汶上县文化和旅游局2021年政府信息公开</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本报告由汶上县文化和旅游局按照《中华人民共和国政府信息公开条例》（以下简称《条例》）和《中华人民共和国政府信息公开工作年度报告格式》（国办公开办函〔2021〕30号）要求编制。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所列数据的统计期限自2021年1月1日起至2021年12月31日止。本报告电子版可在“中国·汶上”政府门户网站（http://www.wenshang.gov.cn/）查阅或下载。如对本报告有疑问，请与汶上县文化和旅游局联系（地址：汶上县政和路中段创业大厦10楼1006室，联系电话：0537-7212015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2021年，汶上县文化和旅游局贯彻落实《中华人民共和国政府信息公开条例》相关文件精神，紧扣本单位工作实际，创新公开方式，扩大开放参与，扎实推进本单位政务公开工作高质量发展。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汶上县文化和旅游局加强社会监督，增加工作透明度，通过官方网站、微博、微信等新媒体客户端向社会发布全县文化旅游领域工作动态及重点领域信息，共主动公开政府信息675条。其中通过政府网站公开信息204条；微信公众号平台369条；微博客户端64条；报纸、其他网站等发布38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935" distR="114935" simplePos="0" relativeHeight="251662336" behindDoc="0" locked="0" layoutInCell="1" allowOverlap="1">
            <wp:simplePos x="0" y="0"/>
            <wp:positionH relativeFrom="column">
              <wp:posOffset>701040</wp:posOffset>
            </wp:positionH>
            <wp:positionV relativeFrom="paragraph">
              <wp:posOffset>170815</wp:posOffset>
            </wp:positionV>
            <wp:extent cx="4467225" cy="3133725"/>
            <wp:effectExtent l="0" t="0" r="9525"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67225" cy="3133725"/>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935" distR="114935" simplePos="0" relativeHeight="251663360" behindDoc="0" locked="0" layoutInCell="1" allowOverlap="1">
            <wp:simplePos x="0" y="0"/>
            <wp:positionH relativeFrom="column">
              <wp:posOffset>605790</wp:posOffset>
            </wp:positionH>
            <wp:positionV relativeFrom="paragraph">
              <wp:posOffset>220345</wp:posOffset>
            </wp:positionV>
            <wp:extent cx="4705350" cy="2743200"/>
            <wp:effectExtent l="0" t="0" r="0" b="0"/>
            <wp:wrapSquare wrapText="bothSides"/>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05350" cy="2743200"/>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935" distR="114935" simplePos="0" relativeHeight="251661312" behindDoc="0" locked="0" layoutInCell="1" allowOverlap="1">
            <wp:simplePos x="0" y="0"/>
            <wp:positionH relativeFrom="column">
              <wp:posOffset>310515</wp:posOffset>
            </wp:positionH>
            <wp:positionV relativeFrom="paragraph">
              <wp:posOffset>35560</wp:posOffset>
            </wp:positionV>
            <wp:extent cx="4752975" cy="2705100"/>
            <wp:effectExtent l="0" t="0" r="9525" b="0"/>
            <wp:wrapSquare wrapText="bothSides"/>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752975" cy="2705100"/>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935" distR="114935" simplePos="0" relativeHeight="251660288" behindDoc="0" locked="0" layoutInCell="1" allowOverlap="1">
            <wp:simplePos x="0" y="0"/>
            <wp:positionH relativeFrom="column">
              <wp:posOffset>205740</wp:posOffset>
            </wp:positionH>
            <wp:positionV relativeFrom="paragraph">
              <wp:posOffset>104140</wp:posOffset>
            </wp:positionV>
            <wp:extent cx="4563110" cy="2591435"/>
            <wp:effectExtent l="0" t="0" r="8890" b="18415"/>
            <wp:wrapSquare wrapText="bothSides"/>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563110" cy="2591435"/>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935" distR="114935" simplePos="0" relativeHeight="251659264" behindDoc="0" locked="0" layoutInCell="1" allowOverlap="1">
            <wp:simplePos x="0" y="0"/>
            <wp:positionH relativeFrom="column">
              <wp:posOffset>118745</wp:posOffset>
            </wp:positionH>
            <wp:positionV relativeFrom="paragraph">
              <wp:posOffset>122555</wp:posOffset>
            </wp:positionV>
            <wp:extent cx="4714875" cy="2266950"/>
            <wp:effectExtent l="0" t="0" r="9525" b="0"/>
            <wp:wrapSquare wrapText="bothSides"/>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714875" cy="2266950"/>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2021年，我局未收到政府信息公开申请。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汶上县文化和旅游局高度重视政府信息管理工作，严格遵守政府信息管理有关规章制度，完善政府信息公开审查流程，不断加强局政府信息公开日常管理。严格按照“统一领导、归口负责、综合协调、各司其职”的原则，进一步推进、指导、协调、监督全局政府信息公开工作。坚持把落实政府信息公开工作纳入重要议事日程、纳入依法行政工作之中，进一步明确责任、分解任务、抓好落实。加强政务公开标准化建设，努力提升信息公开工作水平，保证政府信息公开安全有效运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充分发挥政府网站第一平台作用和政务公开渠道作用，及时准确、公开透明、依法发布与政府行政事务相关信息。在实施政府信息公开工作过程中，按照“公开为原则，不公开为例外”的总要求，除保密和少数敏感性信息外，最大限度地主动公开信息，力求实现文化、旅游、文物等相关政府信息的全履盖，畅通信息公开渠道。除县政府统一站点外，积极通过微信“汶上县文化和旅游局”、微博“汶上文化旅游”等渠道及时发布相关工作信息、工作动态，对公民、法人和其他组织提出的申请，热情服务，认真登记，及时处理，做到件件有答复，事事有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bdr w:val="none" w:color="auto" w:sz="0" w:space="0"/>
              </w:rPr>
              <w:drawing>
                <wp:inline distT="0" distB="0" distL="114300" distR="114300">
                  <wp:extent cx="5686425" cy="4248150"/>
                  <wp:effectExtent l="0" t="0" r="952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9"/>
                          <a:stretch>
                            <a:fillRect/>
                          </a:stretch>
                        </pic:blipFill>
                        <pic:spPr>
                          <a:xfrm>
                            <a:off x="0" y="0"/>
                            <a:ext cx="5686425" cy="4248150"/>
                          </a:xfrm>
                          <a:prstGeom prst="rect">
                            <a:avLst/>
                          </a:prstGeom>
                          <a:noFill/>
                          <a:ln w="9525">
                            <a:noFill/>
                          </a:ln>
                        </pic:spPr>
                      </pic:pic>
                    </a:graphicData>
                  </a:graphic>
                </wp:inline>
              </w:drawing>
            </w:r>
          </w:p>
        </w:tc>
      </w:tr>
    </w:tbl>
    <w:p>
      <w:pPr>
        <w:rPr>
          <w:vanish/>
          <w:sz w:val="24"/>
          <w:szCs w:val="24"/>
        </w:rPr>
      </w:pP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8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jc w:val="center"/>
        </w:trPr>
        <w:tc>
          <w:tcPr>
            <w:tcW w:w="85" w:type="dxa"/>
            <w:shd w:val="clear"/>
            <w:vAlign w:val="center"/>
          </w:tcPr>
          <w:p>
            <w:pPr>
              <w:keepNext w:val="0"/>
              <w:keepLines w:val="0"/>
              <w:widowControl/>
              <w:suppressLineNumbers w:val="0"/>
              <w:spacing w:before="0" w:beforeAutospacing="0" w:after="0" w:afterAutospacing="0"/>
              <w:ind w:left="0" w:right="0"/>
              <w:jc w:val="left"/>
            </w:pPr>
          </w:p>
        </w:tc>
        <w:tc>
          <w:tcPr>
            <w:tcW w:w="85" w:type="dxa"/>
            <w:shd w:val="cle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p>
        </w:tc>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bdr w:val="none" w:color="auto" w:sz="0" w:space="0"/>
              </w:rPr>
              <w:drawing>
                <wp:inline distT="0" distB="0" distL="114300" distR="114300">
                  <wp:extent cx="5686425" cy="3571875"/>
                  <wp:effectExtent l="0" t="0" r="9525" b="9525"/>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10"/>
                          <a:stretch>
                            <a:fillRect/>
                          </a:stretch>
                        </pic:blipFill>
                        <pic:spPr>
                          <a:xfrm>
                            <a:off x="0" y="0"/>
                            <a:ext cx="5686425" cy="3571875"/>
                          </a:xfrm>
                          <a:prstGeom prst="rect">
                            <a:avLst/>
                          </a:prstGeom>
                          <a:noFill/>
                          <a:ln w="9525">
                            <a:noFill/>
                          </a:ln>
                        </pic:spPr>
                      </pic:pic>
                    </a:graphicData>
                  </a:graphic>
                </wp:inline>
              </w:drawing>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ascii="微软雅黑" w:hAnsi="微软雅黑" w:eastAsia="微软雅黑" w:cs="微软雅黑"/>
          <w:i w:val="0"/>
          <w:iCs w:val="0"/>
          <w:caps w:val="0"/>
          <w:color w:val="333333"/>
          <w:spacing w:val="0"/>
          <w:sz w:val="24"/>
          <w:szCs w:val="24"/>
        </w:rPr>
      </w:pP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8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jc w:val="center"/>
        </w:trPr>
        <w:tc>
          <w:tcPr>
            <w:tcW w:w="55" w:type="dxa"/>
            <w:shd w:val="clear"/>
            <w:vAlign w:val="center"/>
          </w:tcPr>
          <w:p>
            <w:pPr>
              <w:keepNext w:val="0"/>
              <w:keepLines w:val="0"/>
              <w:widowControl/>
              <w:suppressLineNumbers w:val="0"/>
              <w:spacing w:before="0" w:beforeAutospacing="0" w:after="0" w:afterAutospacing="0"/>
              <w:ind w:left="0" w:right="0"/>
              <w:jc w:val="left"/>
            </w:pPr>
          </w:p>
        </w:tc>
        <w:tc>
          <w:tcPr>
            <w:tcW w:w="55" w:type="dxa"/>
            <w:shd w:val="cle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p>
        </w:tc>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bdr w:val="none" w:color="auto" w:sz="0" w:space="0"/>
              </w:rPr>
              <w:drawing>
                <wp:inline distT="0" distB="0" distL="114300" distR="114300">
                  <wp:extent cx="5686425" cy="4867275"/>
                  <wp:effectExtent l="0" t="0" r="9525" b="9525"/>
                  <wp:docPr id="11"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8"/>
                          <pic:cNvPicPr>
                            <a:picLocks noChangeAspect="1"/>
                          </pic:cNvPicPr>
                        </pic:nvPicPr>
                        <pic:blipFill>
                          <a:blip r:embed="rId11"/>
                          <a:stretch>
                            <a:fillRect/>
                          </a:stretch>
                        </pic:blipFill>
                        <pic:spPr>
                          <a:xfrm>
                            <a:off x="0" y="0"/>
                            <a:ext cx="5686425" cy="4867275"/>
                          </a:xfrm>
                          <a:prstGeom prst="rect">
                            <a:avLst/>
                          </a:prstGeom>
                          <a:noFill/>
                          <a:ln w="9525">
                            <a:noFill/>
                          </a:ln>
                        </pic:spPr>
                      </pic:pic>
                    </a:graphicData>
                  </a:graphic>
                </wp:inline>
              </w:drawing>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汶上县文化和旅游局成立政务公开工作领导小组，以分管局长为组长、明确1名政府信息公开工作专职人员，2名兼职人员，领导小组下设办公室，办公室设在局办公室，具体负责信息公开具体工作，做到了有领导分管、有机构负责、有专人承办，保证了政务公开工作的顺利开展。广泛开展业务培训，及时传达省、市、县政府有关会议精神，组织开展文旅领域信息公开业务培训，各科室单位安排专人参加，全年培训45人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二、主动公开政府信息情况</w:t>
      </w:r>
    </w:p>
    <w:tbl>
      <w:tblPr>
        <w:tblW w:w="87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三、收到和处理政府信息公开申请情况</w:t>
      </w:r>
    </w:p>
    <w:tbl>
      <w:tblPr>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1084"/>
        <w:gridCol w:w="2790"/>
        <w:gridCol w:w="780"/>
        <w:gridCol w:w="593"/>
        <w:gridCol w:w="579"/>
        <w:gridCol w:w="593"/>
        <w:gridCol w:w="565"/>
        <w:gridCol w:w="550"/>
        <w:gridCol w:w="5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79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79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企业</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机构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社会公益组织</w:t>
            </w:r>
          </w:p>
        </w:tc>
        <w:tc>
          <w:tcPr>
            <w:tcW w:w="57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法律服务机构</w:t>
            </w:r>
          </w:p>
        </w:tc>
        <w:tc>
          <w:tcPr>
            <w:tcW w:w="55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一、本年新收政府信息公开申请数量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二、上年结转政府信息公开申请数量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三、本年度办理结果</w:t>
            </w: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（一）予以公开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（三）不予公开</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1.属于国家秘密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2.其他法律行政法规禁止公开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3.危及“三安全一稳定”</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4.保护第三方合法权益</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5.属于三类内部事务信息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6.属于四类过程性信息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7.属于行政执法案卷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8.属于行政查询事项</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（四）无法提供</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1.本机关不掌握相关政府信息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2.没有现成信息需要另行制作</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3.补正后申请内容仍不明确</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（五）不予处理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1.信访举报投诉类申请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2.重复申请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3.要求提供公开出版物</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4.无正当理由大量反复申请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（六）其他处理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3.其他</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（七）总计</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四、结转下年度继续办理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0 </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四、政府信息公开行政复议、行政诉讼情况</w:t>
      </w:r>
    </w:p>
    <w:tbl>
      <w:tblPr>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5"/>
        <w:gridCol w:w="595"/>
        <w:gridCol w:w="584"/>
        <w:gridCol w:w="572"/>
        <w:gridCol w:w="532"/>
        <w:gridCol w:w="618"/>
        <w:gridCol w:w="618"/>
        <w:gridCol w:w="618"/>
        <w:gridCol w:w="606"/>
        <w:gridCol w:w="532"/>
        <w:gridCol w:w="618"/>
        <w:gridCol w:w="618"/>
        <w:gridCol w:w="618"/>
        <w:gridCol w:w="549"/>
        <w:gridCol w:w="5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89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行政复议</w:t>
            </w:r>
          </w:p>
        </w:tc>
        <w:tc>
          <w:tcPr>
            <w:tcW w:w="5925"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结果维持</w:t>
            </w:r>
          </w:p>
        </w:tc>
        <w:tc>
          <w:tcPr>
            <w:tcW w:w="61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tc>
        <w:tc>
          <w:tcPr>
            <w:tcW w:w="58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审结</w:t>
            </w:r>
          </w:p>
        </w:tc>
        <w:tc>
          <w:tcPr>
            <w:tcW w:w="46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总计</w:t>
            </w:r>
          </w:p>
        </w:tc>
        <w:tc>
          <w:tcPr>
            <w:tcW w:w="301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未经复议直接起诉</w:t>
            </w:r>
          </w:p>
        </w:tc>
        <w:tc>
          <w:tcPr>
            <w:tcW w:w="291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61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58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4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维持</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审结</w:t>
            </w:r>
          </w:p>
        </w:tc>
        <w:tc>
          <w:tcPr>
            <w:tcW w:w="4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总计</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维持</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结果</w:t>
            </w:r>
          </w:p>
        </w:tc>
        <w:tc>
          <w:tcPr>
            <w:tcW w:w="5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审结</w:t>
            </w:r>
          </w:p>
        </w:tc>
        <w:tc>
          <w:tcPr>
            <w:tcW w:w="4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4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我局政府信息公开工作扎实推进，取得了新的成效，针对2020年度自查发现的信息公开工作队伍能力建设不足问题，今年以来我局积极开展对政府信息公开相关工作人员的培训，着重加强政务公开信息员专业知识的培养，有效保证政府信息公开工作的顺利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目前仍存在着问题和不足，突出表现为缺少稳定的政务公开工作负责人员，岗位人员流动性较大，工作交接、培训难度较高。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2022年，我局将进一步优化开展政务公开工作，严格对照政府信息公开条例的要求，做到“应公开，尽公开”，进一步扩大培训范围，增加政务公开工作专职业务人员数量。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（一）我局本年度无收取信息处理费的情况;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2021年我局严格按照上级有关要求，围绕政务公开工作要点，对照工作任务分解表，不断丰富公开内容、拓宽公开形式和渠道，增强公开质量和实效，切实保障人民群众的知情权、参与权、表达权和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我局人大代表建议和政协提案办理结果公开情况。我局共办理人大代表建议4件、政协委员提案31件，所有建议、提案已在规定时限内办复完毕，都作出了书面答复，并都在汶上县政府网站政府信息公开栏目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行政机关年度政务公开工作创新情况：利用图书馆阅读区摆放我县文化旅游、政策信息等宣传资料；利用送戏下乡、民生工作集中宣传活动的有利契机，广泛散发文体生活满意度宣传册，保障群众对文旅工作的知情权、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sectPr>
      <w:pgSz w:w="11906" w:h="16838"/>
      <w:pgMar w:top="1701" w:right="1474" w:bottom="164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lovepop"/>
    <w:panose1 w:val="00000000000000000000"/>
    <w:charset w:val="00"/>
    <w:family w:val="auto"/>
    <w:pitch w:val="default"/>
    <w:sig w:usb0="00000000" w:usb1="00000000" w:usb2="00000000" w:usb3="00000000" w:csb0="00000000" w:csb1="00000000"/>
  </w:font>
  <w:font w:name="lovepop">
    <w:panose1 w:val="02000600000000000000"/>
    <w:charset w:val="80"/>
    <w:family w:val="auto"/>
    <w:pitch w:val="default"/>
    <w:sig w:usb0="A00002BF" w:usb1="68C7FCFB" w:usb2="00000010" w:usb3="00000000" w:csb0="4002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C6A61"/>
    <w:rsid w:val="0C2A28F7"/>
    <w:rsid w:val="11FD2DA2"/>
    <w:rsid w:val="2813764D"/>
    <w:rsid w:val="288A00CF"/>
    <w:rsid w:val="367D5131"/>
    <w:rsid w:val="38C033A5"/>
    <w:rsid w:val="43C26223"/>
    <w:rsid w:val="45E32067"/>
    <w:rsid w:val="48B56F13"/>
    <w:rsid w:val="53787C36"/>
    <w:rsid w:val="60686A8D"/>
    <w:rsid w:val="631A024E"/>
    <w:rsid w:val="6C88338D"/>
    <w:rsid w:val="6E9D4733"/>
    <w:rsid w:val="74E86E4B"/>
    <w:rsid w:val="79AE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1"/>
    <w:basedOn w:val="1"/>
    <w:qFormat/>
    <w:uiPriority w:val="0"/>
    <w:rPr>
      <w:rFonts w:ascii="Times New Roman" w:hAnsi="Times New Roman" w:eastAsia="Times New Roman" w:cs="Times New Roman"/>
      <w:color w:val="000000"/>
      <w:sz w:val="24"/>
      <w:shd w:val="clear" w:color="auto" w:fill="auto"/>
      <w:lang w:eastAsia="en-US" w:bidi="en-US"/>
    </w:rPr>
  </w:style>
  <w:style w:type="paragraph" w:customStyle="1" w:styleId="7">
    <w:name w:val="样式2"/>
    <w:basedOn w:val="1"/>
    <w:qFormat/>
    <w:uiPriority w:val="0"/>
    <w:rPr>
      <w:rFonts w:ascii="Times New Roman" w:hAnsi="Times New Roman" w:eastAsia="Times New Roman" w:cs="Times New Roman"/>
      <w:color w:val="000000"/>
      <w:sz w:val="24"/>
      <w:shd w:val="clear" w:color="auto" w:fill="auto"/>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2021-02-02T07:18:00Z</dcterms:created>
  <dc:creator>Administrator</dc:creator>
  <cp:lastModifiedBy>Administrator</cp:lastModifiedBy>
  <dcterms:modified xsi:type="dcterms:W3CDTF">2022-02-09T02:09:56Z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4465CD018990407A89E0D3941E616119</vt:lpwstr>
  </property>
</Properties>
</file>