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sz w:val="44"/>
          <w:szCs w:val="44"/>
        </w:rPr>
      </w:pPr>
    </w:p>
    <w:p>
      <w:pPr>
        <w:spacing w:line="580"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汶上县公共投资建设项目审计监督管理办法</w:t>
      </w:r>
    </w:p>
    <w:p>
      <w:pPr>
        <w:spacing w:line="580" w:lineRule="exact"/>
        <w:jc w:val="center"/>
        <w:rPr>
          <w:rFonts w:ascii="宋体" w:hAnsi="宋体" w:eastAsia="宋体"/>
          <w:sz w:val="30"/>
          <w:szCs w:val="30"/>
        </w:rPr>
      </w:pPr>
      <w:r>
        <w:rPr>
          <w:rFonts w:hint="eastAsia" w:ascii="宋体" w:hAnsi="宋体" w:eastAsia="宋体"/>
          <w:sz w:val="30"/>
          <w:szCs w:val="30"/>
        </w:rPr>
        <w:t>(征求意见稿)</w:t>
      </w:r>
    </w:p>
    <w:p>
      <w:pPr>
        <w:spacing w:line="700" w:lineRule="exact"/>
        <w:rPr>
          <w:rFonts w:ascii="仿宋_GB2312" w:hAnsi="宋体" w:eastAsia="仿宋_GB2312"/>
        </w:rPr>
      </w:pPr>
    </w:p>
    <w:p>
      <w:pPr>
        <w:spacing w:line="700" w:lineRule="exact"/>
        <w:jc w:val="center"/>
        <w:rPr>
          <w:rFonts w:ascii="黑体" w:hAnsi="黑体" w:eastAsia="黑体"/>
        </w:rPr>
      </w:pPr>
      <w:r>
        <w:rPr>
          <w:rFonts w:hint="eastAsia" w:ascii="黑体" w:hAnsi="黑体" w:eastAsia="黑体"/>
        </w:rPr>
        <w:t xml:space="preserve">第一章 </w:t>
      </w:r>
      <w:r>
        <w:rPr>
          <w:rFonts w:ascii="黑体" w:hAnsi="黑体" w:eastAsia="黑体"/>
        </w:rPr>
        <w:t xml:space="preserve"> </w:t>
      </w:r>
      <w:r>
        <w:rPr>
          <w:rFonts w:hint="eastAsia" w:ascii="黑体" w:hAnsi="黑体" w:eastAsia="黑体"/>
        </w:rPr>
        <w:t>总则</w:t>
      </w:r>
    </w:p>
    <w:p>
      <w:pPr>
        <w:spacing w:line="700" w:lineRule="exact"/>
        <w:jc w:val="center"/>
        <w:rPr>
          <w:rFonts w:ascii="仿宋_GB2312" w:hAnsi="宋体" w:eastAsia="仿宋_GB2312"/>
        </w:rPr>
      </w:pP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为加强对汶上县公共投资建设项目的审计监督，规范投资行为，提高投资效益，根据《中华人民共和国审计法》《审计署关于进一步完善和规范投资审计工作的意见》《山东省审计厅关于进一步规范和加强投资审计工作的意见》和《济宁市公共投资建设项目审计监督管理办法》等有关规定，结合本县实际，制定本办法。</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 xml:space="preserve">本办法所称公共投资建设项目，是指政府、国有企业事业单位投资且拥有实际控制权的建设项目，以及政府与社会合作建设的关系全局性、战略性、基础性的重大公共性、公益性建设项目，具体包括以下项目: </w:t>
      </w:r>
    </w:p>
    <w:p>
      <w:pPr>
        <w:spacing w:line="600" w:lineRule="exact"/>
        <w:ind w:firstLine="768" w:firstLineChars="246"/>
        <w:rPr>
          <w:rFonts w:ascii="仿宋_GB2312" w:hAnsi="宋体" w:eastAsia="仿宋_GB2312"/>
        </w:rPr>
      </w:pPr>
      <w:r>
        <w:rPr>
          <w:rFonts w:hint="eastAsia" w:ascii="仿宋_GB2312" w:hAnsi="宋体" w:eastAsia="仿宋_GB2312"/>
        </w:rPr>
        <w:t>（一）政府或者国有企业事业单位投资占项目总投资的比例超过50%的建设项目；</w:t>
      </w:r>
    </w:p>
    <w:p>
      <w:pPr>
        <w:spacing w:line="600" w:lineRule="exact"/>
        <w:ind w:firstLine="768" w:firstLineChars="246"/>
        <w:rPr>
          <w:rFonts w:ascii="仿宋_GB2312" w:hAnsi="宋体" w:eastAsia="仿宋_GB2312"/>
        </w:rPr>
      </w:pPr>
      <w:r>
        <w:rPr>
          <w:rFonts w:hint="eastAsia" w:ascii="仿宋_GB2312" w:hAnsi="宋体" w:eastAsia="仿宋_GB2312"/>
        </w:rPr>
        <w:t>（二）政府或者国有企业事业单位投资占项目总投资的比例为50%及以下，但政府或者国有企业事业单位拥有项目建设或者运营实际控制权的建设项目；</w:t>
      </w:r>
    </w:p>
    <w:p>
      <w:pPr>
        <w:spacing w:line="600" w:lineRule="exact"/>
        <w:ind w:firstLine="768" w:firstLineChars="246"/>
        <w:rPr>
          <w:rFonts w:ascii="仿宋_GB2312" w:hAnsi="宋体" w:eastAsia="仿宋_GB2312"/>
        </w:rPr>
      </w:pPr>
      <w:r>
        <w:rPr>
          <w:rFonts w:hint="eastAsia" w:ascii="仿宋_GB2312" w:hAnsi="宋体" w:eastAsia="仿宋_GB2312"/>
        </w:rPr>
        <w:t>（三）国有资本占控股或主导地位的企业投资的非生产性重大建设项目；</w:t>
      </w:r>
    </w:p>
    <w:p>
      <w:pPr>
        <w:spacing w:line="600" w:lineRule="exact"/>
        <w:ind w:firstLine="768" w:firstLineChars="246"/>
        <w:rPr>
          <w:rFonts w:ascii="仿宋_GB2312" w:hAnsi="宋体" w:eastAsia="仿宋_GB2312"/>
        </w:rPr>
      </w:pPr>
      <w:r>
        <w:rPr>
          <w:rFonts w:hint="eastAsia" w:ascii="仿宋_GB2312" w:hAnsi="宋体" w:eastAsia="仿宋_GB2312"/>
        </w:rPr>
        <w:t>（四）法律、法规、规章和市、县人民政府规定的其他重大公共投资建设项目。</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汶上县公共投资建设项目的审计监督工作应当遵守本办法。</w:t>
      </w:r>
    </w:p>
    <w:p>
      <w:pPr>
        <w:numPr>
          <w:ilvl w:val="0"/>
          <w:numId w:val="1"/>
        </w:numPr>
        <w:spacing w:line="600" w:lineRule="exact"/>
        <w:ind w:firstLine="615" w:firstLineChars="197"/>
        <w:rPr>
          <w:rFonts w:ascii="仿宋_GB2312" w:hAnsi="宋体" w:eastAsia="仿宋_GB2312"/>
        </w:rPr>
      </w:pPr>
      <w:r>
        <w:rPr>
          <w:rFonts w:hint="eastAsia" w:ascii="仿宋_GB2312" w:hAnsi="宋体" w:eastAsia="仿宋_GB2312"/>
        </w:rPr>
        <w:t xml:space="preserve">审计机关依法对公共投资建设项目实施审计，独立行使审计监督权，不受其他行政机关、社会团体和个人干涉。 </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color w:val="000000" w:themeColor="text1"/>
        </w:rPr>
        <w:t>发展改革、财政、国资、住房和城乡建设、交通运输、水务、自然资源和规划、环保等有关</w:t>
      </w:r>
      <w:r>
        <w:rPr>
          <w:rFonts w:hint="eastAsia" w:ascii="仿宋_GB2312" w:hAnsi="宋体" w:eastAsia="仿宋_GB2312"/>
        </w:rPr>
        <w:t>部门和单位，应当按照各自的职责协助审计机关做好对公共投资建设项目的审计监督工作。</w:t>
      </w:r>
    </w:p>
    <w:p>
      <w:pPr>
        <w:numPr>
          <w:ilvl w:val="0"/>
          <w:numId w:val="1"/>
        </w:numPr>
        <w:spacing w:line="600" w:lineRule="exact"/>
        <w:ind w:left="-3" w:leftChars="-1" w:firstLine="615" w:firstLineChars="197"/>
        <w:rPr>
          <w:rFonts w:ascii="仿宋_GB2312" w:hAnsi="宋体" w:eastAsia="仿宋_GB2312"/>
        </w:rPr>
      </w:pPr>
      <w:r>
        <w:rPr>
          <w:rFonts w:hint="eastAsia" w:ascii="仿宋_GB2312" w:hAnsi="宋体" w:eastAsia="仿宋_GB2312"/>
        </w:rPr>
        <w:t>审计机关和审计人员在公共投资建设项目审计监督中，应客观公正、实事求是、廉洁奉公、保守秘密，遵守回避制度。</w:t>
      </w:r>
    </w:p>
    <w:p>
      <w:pPr>
        <w:spacing w:line="600" w:lineRule="exact"/>
        <w:ind w:left="-3"/>
        <w:rPr>
          <w:rFonts w:ascii="仿宋_GB2312" w:hAnsi="宋体" w:eastAsia="仿宋_GB2312"/>
        </w:rPr>
      </w:pPr>
    </w:p>
    <w:p>
      <w:pPr>
        <w:spacing w:line="600" w:lineRule="exact"/>
        <w:ind w:left="-3"/>
        <w:jc w:val="center"/>
        <w:rPr>
          <w:rFonts w:ascii="黑体" w:hAnsi="黑体" w:eastAsia="黑体"/>
        </w:rPr>
      </w:pPr>
      <w:r>
        <w:rPr>
          <w:rFonts w:hint="eastAsia" w:ascii="黑体" w:hAnsi="黑体" w:eastAsia="黑体"/>
        </w:rPr>
        <w:t xml:space="preserve">第二章 </w:t>
      </w:r>
      <w:r>
        <w:rPr>
          <w:rFonts w:ascii="黑体" w:hAnsi="黑体" w:eastAsia="黑体"/>
        </w:rPr>
        <w:t xml:space="preserve"> </w:t>
      </w:r>
      <w:r>
        <w:rPr>
          <w:rFonts w:hint="eastAsia" w:ascii="黑体" w:hAnsi="黑体" w:eastAsia="黑体"/>
        </w:rPr>
        <w:t>审计职责</w:t>
      </w:r>
    </w:p>
    <w:p>
      <w:pPr>
        <w:spacing w:line="600" w:lineRule="exact"/>
        <w:ind w:left="-3"/>
        <w:rPr>
          <w:rFonts w:ascii="仿宋_GB2312" w:hAnsi="宋体" w:eastAsia="仿宋_GB2312"/>
        </w:rPr>
      </w:pP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县审计机关对项目投资额400万元以上（含400万元）的公共投资建设项目，结合本县实际，实行全面审计；对400万元以下的公共投资建设项目实行随机抽查审计；对县委、县政府安排的重大项目进行跟踪审计。</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 xml:space="preserve">审计机关对公共投资建设项目的概（预）算执行、工程结算、绩效情况进行审计或者专项审计调查，重点审计以下内容： </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履行基本建设程序情况；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投资控制和资金管理使用情况；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项目建设管理情况；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有关政策措施执行和规划实施情况；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合同签订、履行及变更情况；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土地利用和征收拆迁补偿安置情况；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设备、物资和材料采购情况；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工程结算情况；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工程财务核算情况；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投资绩效情况；</w:t>
      </w:r>
    </w:p>
    <w:p>
      <w:pPr>
        <w:numPr>
          <w:ilvl w:val="0"/>
          <w:numId w:val="2"/>
        </w:numPr>
        <w:spacing w:line="520" w:lineRule="exact"/>
        <w:ind w:firstLine="618" w:firstLineChars="198"/>
        <w:rPr>
          <w:rFonts w:ascii="仿宋_GB2312" w:hAnsi="宋体" w:eastAsia="仿宋_GB2312"/>
        </w:rPr>
      </w:pPr>
      <w:r>
        <w:rPr>
          <w:rFonts w:hint="eastAsia" w:ascii="仿宋_GB2312" w:hAnsi="宋体" w:eastAsia="仿宋_GB2312"/>
        </w:rPr>
        <w:t>需要重点审计的其他内容。</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县审计机关实施上级审计机关授权的其管辖范围内的公共投资建设项目审计。对上级审计机关直接审计汶上县审计机关管辖范围内的公共投资建设项目，</w:t>
      </w:r>
      <w:r>
        <w:rPr>
          <w:rFonts w:ascii="仿宋_GB2312" w:hAnsi="宋体" w:eastAsia="仿宋_GB2312"/>
        </w:rPr>
        <w:t>县审计机关</w:t>
      </w:r>
      <w:r>
        <w:rPr>
          <w:rFonts w:hint="eastAsia" w:ascii="仿宋_GB2312" w:hAnsi="宋体" w:eastAsia="仿宋_GB2312"/>
        </w:rPr>
        <w:t>做好</w:t>
      </w:r>
      <w:r>
        <w:rPr>
          <w:rFonts w:ascii="仿宋_GB2312" w:hAnsi="宋体" w:eastAsia="仿宋_GB2312"/>
        </w:rPr>
        <w:t>配合</w:t>
      </w:r>
      <w:r>
        <w:rPr>
          <w:rFonts w:hint="eastAsia" w:ascii="仿宋_GB2312" w:hAnsi="宋体" w:eastAsia="仿宋_GB2312"/>
        </w:rPr>
        <w:t>。对审计</w:t>
      </w:r>
      <w:r>
        <w:rPr>
          <w:rFonts w:ascii="仿宋_GB2312" w:hAnsi="宋体" w:eastAsia="仿宋_GB2312"/>
        </w:rPr>
        <w:t>管辖有异议的，</w:t>
      </w:r>
      <w:r>
        <w:rPr>
          <w:rFonts w:hint="eastAsia" w:ascii="仿宋_GB2312" w:hAnsi="宋体" w:eastAsia="仿宋_GB2312"/>
        </w:rPr>
        <w:t>报请上级</w:t>
      </w:r>
      <w:r>
        <w:rPr>
          <w:rFonts w:ascii="仿宋_GB2312" w:hAnsi="宋体" w:eastAsia="仿宋_GB2312"/>
        </w:rPr>
        <w:t>审计机关确定。</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县审计机关应当按照规定向本级人民政府及上级审计机关报告本级政府重大公共投资建设项目审计结果。</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公共投资建设项目的审计对象为公共投资建设项目的建设单位。必要时，延伸审计调查与公共投资建设项目有关的勘察、设计、施工、监理、供货等单位。</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审计机关对公共投资建设项目实施审计监督，不影响公共投资建设项目的正常开展，不影响相关部门和单位依法履行相关合同。</w:t>
      </w:r>
    </w:p>
    <w:p>
      <w:pPr>
        <w:spacing w:line="600" w:lineRule="exact"/>
        <w:rPr>
          <w:rFonts w:ascii="仿宋_GB2312" w:hAnsi="宋体" w:eastAsia="仿宋_GB2312"/>
        </w:rPr>
      </w:pPr>
    </w:p>
    <w:p>
      <w:pPr>
        <w:spacing w:line="600" w:lineRule="exact"/>
        <w:jc w:val="center"/>
        <w:rPr>
          <w:rFonts w:ascii="黑体" w:hAnsi="黑体" w:eastAsia="黑体"/>
        </w:rPr>
      </w:pPr>
      <w:r>
        <w:rPr>
          <w:rFonts w:hint="eastAsia" w:ascii="黑体" w:hAnsi="黑体" w:eastAsia="黑体"/>
        </w:rPr>
        <w:t xml:space="preserve">第三章 </w:t>
      </w:r>
      <w:r>
        <w:rPr>
          <w:rFonts w:ascii="黑体" w:hAnsi="黑体" w:eastAsia="黑体"/>
        </w:rPr>
        <w:t xml:space="preserve"> </w:t>
      </w:r>
      <w:r>
        <w:rPr>
          <w:rFonts w:hint="eastAsia" w:ascii="黑体" w:hAnsi="黑体" w:eastAsia="黑体"/>
        </w:rPr>
        <w:t>审计实施</w:t>
      </w:r>
    </w:p>
    <w:p>
      <w:pPr>
        <w:spacing w:line="600" w:lineRule="exact"/>
        <w:rPr>
          <w:rFonts w:ascii="仿宋_GB2312" w:hAnsi="宋体" w:eastAsia="仿宋_GB2312"/>
        </w:rPr>
      </w:pP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县审计机关应根据法律、法规、规章规定和本级人民政府要求及上级审计机关工作安排，编制年度公共投资审计项目计划，有计划地开展审计工作。</w:t>
      </w:r>
    </w:p>
    <w:p>
      <w:pPr>
        <w:spacing w:line="600" w:lineRule="exact"/>
        <w:rPr>
          <w:rFonts w:ascii="仿宋_GB2312" w:hAnsi="宋体" w:eastAsia="仿宋_GB2312"/>
        </w:rPr>
      </w:pPr>
      <w:r>
        <w:rPr>
          <w:rFonts w:hint="eastAsia" w:ascii="仿宋_GB2312" w:hAnsi="宋体" w:eastAsia="仿宋_GB2312"/>
        </w:rPr>
        <w:t xml:space="preserve">    县审计机关编制的公共投资建设项目年度审计计划经本级人民政府审核，逐级报市</w:t>
      </w:r>
      <w:r>
        <w:rPr>
          <w:rFonts w:ascii="仿宋_GB2312" w:hAnsi="宋体" w:eastAsia="仿宋_GB2312"/>
        </w:rPr>
        <w:t>、</w:t>
      </w:r>
      <w:r>
        <w:rPr>
          <w:rFonts w:hint="eastAsia" w:ascii="仿宋_GB2312" w:hAnsi="宋体" w:eastAsia="仿宋_GB2312"/>
        </w:rPr>
        <w:t>省审计机关批准后执行。公共投资建设项目年度审计计划确需调整的，按照原审批程序办理。</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公共投资建设项目实行项目审计备案制，建设单位应当及时向县审计机关报送相关资料，在项目立项后报送项目基本情况、在项目完工后报送项目结算审核报告及竣工决算报表等相关资料。</w:t>
      </w:r>
    </w:p>
    <w:p>
      <w:pPr>
        <w:numPr>
          <w:ilvl w:val="0"/>
          <w:numId w:val="1"/>
        </w:numPr>
        <w:spacing w:line="600" w:lineRule="exact"/>
        <w:ind w:firstLine="768" w:firstLineChars="246"/>
        <w:rPr>
          <w:rFonts w:ascii="仿宋_GB2312" w:hAnsi="宋体" w:eastAsia="仿宋_GB2312"/>
        </w:rPr>
      </w:pPr>
      <w:r>
        <w:rPr>
          <w:rFonts w:hint="eastAsia" w:ascii="仿宋_GB2312" w:hAnsi="宋体" w:eastAsia="仿宋_GB2312"/>
        </w:rPr>
        <w:t>被审计单位</w:t>
      </w:r>
      <w:r>
        <w:rPr>
          <w:rFonts w:hint="eastAsia" w:ascii="仿宋_GB2312" w:hAnsi="文星仿宋" w:eastAsia="仿宋_GB2312"/>
        </w:rPr>
        <w:t>应配合审计机关对公共投资建设项目实施审计监督，县委、县政府安排的重大公共投资建设项目在</w:t>
      </w:r>
      <w:r>
        <w:rPr>
          <w:rFonts w:hint="eastAsia" w:ascii="仿宋_GB2312" w:hAnsi="宋体" w:eastAsia="仿宋_GB2312"/>
        </w:rPr>
        <w:t>建设过程中的重大方案调整、重大工程变更等有可能对工程造价产生较大影响的事项，</w:t>
      </w:r>
      <w:r>
        <w:rPr>
          <w:rFonts w:hint="eastAsia" w:ascii="仿宋_GB2312" w:hAnsi="文星仿宋" w:eastAsia="仿宋_GB2312"/>
        </w:rPr>
        <w:t>应当及时告知审计机关，并</w:t>
      </w:r>
      <w:r>
        <w:rPr>
          <w:rFonts w:hint="eastAsia" w:ascii="仿宋_GB2312" w:hAnsi="宋体" w:eastAsia="仿宋_GB2312"/>
        </w:rPr>
        <w:t>按照审计机关的要求及时提供相关资料。</w:t>
      </w:r>
    </w:p>
    <w:p>
      <w:pPr>
        <w:spacing w:line="600" w:lineRule="exact"/>
        <w:ind w:firstLine="624" w:firstLineChars="200"/>
        <w:rPr>
          <w:rFonts w:ascii="仿宋_GB2312" w:hAnsi="宋体" w:eastAsia="仿宋_GB2312"/>
        </w:rPr>
      </w:pPr>
      <w:r>
        <w:rPr>
          <w:rFonts w:hint="eastAsia" w:ascii="仿宋_GB2312" w:hAnsi="宋体" w:eastAsia="仿宋_GB2312"/>
        </w:rPr>
        <w:t>审计机关对</w:t>
      </w:r>
      <w:r>
        <w:rPr>
          <w:rFonts w:hint="eastAsia" w:ascii="仿宋_GB2312" w:hAnsi="文星仿宋" w:eastAsia="仿宋_GB2312"/>
        </w:rPr>
        <w:t>公共投资建设项目</w:t>
      </w:r>
      <w:r>
        <w:rPr>
          <w:rFonts w:hint="eastAsia" w:ascii="仿宋_GB2312" w:hAnsi="宋体" w:eastAsia="仿宋_GB2312"/>
        </w:rPr>
        <w:t>建设过程中发现的问题，及时向建设单位和相关单位提出意见和建议，督促整改。</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审计机关和审计人员应当在法定职权范围内开展审计监督工作，不得参与工程项目建设决策与审批、征地拆迁、工程招标、物资采购、质量评价、工程结算、竣工验收等管理活动，杜绝代替建设单位承担结算审核等“以审代结（算）”和“以审代补（偿）”的做法。</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建设单位应当履行建设项目管理职责，建立健全项目管理制度；公共投资建设项目竣工验收后，按照有关规定编制准确</w:t>
      </w:r>
      <w:r>
        <w:rPr>
          <w:rFonts w:hint="eastAsia" w:ascii="仿宋_GB2312" w:hAnsi="文星仿宋" w:eastAsia="仿宋_GB2312" w:cs="方正仿宋简体"/>
        </w:rPr>
        <w:t>、完整的工程结算及竣工决算。</w:t>
      </w:r>
    </w:p>
    <w:p>
      <w:pPr>
        <w:spacing w:line="600" w:lineRule="exact"/>
        <w:ind w:firstLine="609" w:firstLineChars="195"/>
        <w:rPr>
          <w:rFonts w:ascii="仿宋_GB2312" w:hAnsi="宋体" w:eastAsia="仿宋_GB2312"/>
        </w:rPr>
      </w:pPr>
      <w:r>
        <w:rPr>
          <w:rFonts w:hint="eastAsia" w:ascii="仿宋_GB2312" w:hAnsi="文星仿宋" w:eastAsia="仿宋_GB2312" w:cs="方正仿宋简体"/>
        </w:rPr>
        <w:t>建设单位委托的中介机构及专业人员，要符合国家相关资质，对其所审计项目的真实性、合法性负责。建设单位对聘用的社会中介及专业人员出具的结论性文件负责。审计机关对建设单位聘用的中介机构审计的公共建设项目进行审计监督。</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审计机关实施公共投资建设项目审计，必须由审计机关人员担任审计组组长和主审，遇有相关专业知识局限、审计力量不足等情况时，本着节约、高效的原则，可以通过政府购买服务方式，聘用具备相应资质的社会中介机构或者符合审计职业要求的专业人员参与审计。</w:t>
      </w:r>
    </w:p>
    <w:p>
      <w:pPr>
        <w:ind w:firstLine="624" w:firstLineChars="200"/>
        <w:rPr>
          <w:rFonts w:ascii="仿宋_GB2312" w:hAnsi="宋体" w:eastAsia="仿宋_GB2312"/>
        </w:rPr>
      </w:pPr>
      <w:r>
        <w:rPr>
          <w:rFonts w:hint="eastAsia" w:ascii="仿宋_GB2312" w:hAnsi="宋体" w:eastAsia="仿宋_GB2312"/>
        </w:rPr>
        <w:t>县审计机关聘用的社会中介机构或者专业人员应对出具的工作结果的真实性、合法性负责，县审计机关对利用社会中介机构或者专业人员的工作结果所形成的审计结论负责。</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县审计机关实施公共投资建设项目审计，聘用社会中介机构和符合审计职业要求的相关专业人员的费用，列入本级财政预算。</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审计机关应运用与公共投资建设项目有关的数据信息，创新大数据审计技术方法，利用云计算、大数据和互联网等信息新技术手段开展公共投资建设项目审计。</w:t>
      </w:r>
    </w:p>
    <w:p>
      <w:pPr>
        <w:spacing w:line="600" w:lineRule="exact"/>
        <w:rPr>
          <w:rFonts w:ascii="仿宋_GB2312" w:hAnsi="宋体" w:eastAsia="仿宋_GB2312"/>
        </w:rPr>
      </w:pPr>
    </w:p>
    <w:p>
      <w:pPr>
        <w:spacing w:line="600" w:lineRule="exact"/>
        <w:jc w:val="center"/>
        <w:rPr>
          <w:rFonts w:ascii="黑体" w:hAnsi="黑体" w:eastAsia="黑体"/>
        </w:rPr>
      </w:pPr>
      <w:r>
        <w:rPr>
          <w:rFonts w:hint="eastAsia" w:ascii="黑体" w:hAnsi="黑体" w:eastAsia="黑体"/>
        </w:rPr>
        <w:t xml:space="preserve">第四章 </w:t>
      </w:r>
      <w:r>
        <w:rPr>
          <w:rFonts w:ascii="黑体" w:hAnsi="黑体" w:eastAsia="黑体"/>
        </w:rPr>
        <w:t xml:space="preserve"> </w:t>
      </w:r>
      <w:r>
        <w:rPr>
          <w:rFonts w:hint="eastAsia" w:ascii="黑体" w:hAnsi="黑体" w:eastAsia="黑体"/>
        </w:rPr>
        <w:t>审计结果运用和执行</w:t>
      </w:r>
    </w:p>
    <w:p>
      <w:pPr>
        <w:spacing w:line="600" w:lineRule="exact"/>
        <w:rPr>
          <w:rFonts w:ascii="仿宋_GB2312" w:hAnsi="宋体" w:eastAsia="仿宋_GB2312"/>
        </w:rPr>
      </w:pP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对</w:t>
      </w:r>
      <w:r>
        <w:rPr>
          <w:rFonts w:ascii="仿宋_GB2312" w:hAnsi="宋体" w:eastAsia="仿宋_GB2312"/>
        </w:rPr>
        <w:t>平等民事主体</w:t>
      </w:r>
      <w:r>
        <w:rPr>
          <w:rFonts w:hint="eastAsia" w:ascii="仿宋_GB2312" w:hAnsi="宋体" w:eastAsia="仿宋_GB2312"/>
        </w:rPr>
        <w:t>在合同中约定采用审计结果作为竣工结算依据的，审计机关应依照合同法等有关规定，尊重双方意愿。</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审计项目结束后，审计机关应依法独立出具公共投资建设项目审计报告，对审计发现的结算不实以及其他违反财政收支、财务收支规定等问题，应当在法定职权范围内依法作出处理、处罚的审计决定，责令建设单位整改；对审计发现的违纪违法、损失浪费等问题线索，应依法移送有关部门处理。</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被审计单位应依法执行审计决定。对审计机关作出的有关财政收支的审计决定不服的，可以自审计决定送达之日起60日内提出书面申请，提请审计机关的本级人民政府裁决。本级人民政府的裁决为最终决定。</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除本办法第二十三条规定的可以提请裁决的审计决定外，被审计单位对县审计机关作出的其他审计决定不服的，可以依法申请行政复议或者提起行政诉讼。</w:t>
      </w:r>
    </w:p>
    <w:p>
      <w:pPr>
        <w:spacing w:line="600" w:lineRule="exact"/>
        <w:rPr>
          <w:rFonts w:ascii="仿宋_GB2312" w:hAnsi="宋体" w:eastAsia="仿宋_GB2312"/>
        </w:rPr>
      </w:pPr>
    </w:p>
    <w:p>
      <w:pPr>
        <w:spacing w:line="600" w:lineRule="exact"/>
        <w:jc w:val="center"/>
        <w:rPr>
          <w:rFonts w:ascii="黑体" w:hAnsi="黑体" w:eastAsia="黑体"/>
        </w:rPr>
      </w:pPr>
      <w:r>
        <w:rPr>
          <w:rFonts w:hint="eastAsia" w:ascii="黑体" w:hAnsi="黑体" w:eastAsia="黑体"/>
        </w:rPr>
        <w:t xml:space="preserve">第五章 </w:t>
      </w:r>
      <w:r>
        <w:rPr>
          <w:rFonts w:ascii="黑体" w:hAnsi="黑体" w:eastAsia="黑体"/>
        </w:rPr>
        <w:t xml:space="preserve"> </w:t>
      </w:r>
      <w:r>
        <w:rPr>
          <w:rFonts w:hint="eastAsia" w:ascii="黑体" w:hAnsi="黑体" w:eastAsia="黑体"/>
        </w:rPr>
        <w:t>责任追究</w:t>
      </w:r>
    </w:p>
    <w:p>
      <w:pPr>
        <w:spacing w:line="600" w:lineRule="exact"/>
        <w:rPr>
          <w:rFonts w:ascii="仿宋_GB2312" w:hAnsi="宋体" w:eastAsia="仿宋_GB2312"/>
        </w:rPr>
      </w:pP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被审计单位拒绝、拖延提供与审计事项有关的资料，或者提供的资料不真实、不完整，或者拒绝、阻碍检查的，由县审计机关依据《中华人民共和国审计法实施条例》的规定，责令改正，可以通报批评，给予警告；拒不改正的，对被审计单位可以处5万元以下的罚款，对直接负责的主管人员和其他直接责任人员，可以处2万元以下的罚款。县审计机关认为应当给予处分的，及时向有关主管机关或者单位提出给予处分的建议；涉嫌犯罪的，依法追究刑事责任。</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numPr>
          <w:ilvl w:val="0"/>
          <w:numId w:val="3"/>
        </w:numPr>
        <w:spacing w:line="600" w:lineRule="exact"/>
        <w:rPr>
          <w:rFonts w:ascii="仿宋_GB2312" w:hAnsi="宋体" w:eastAsia="仿宋_GB2312"/>
        </w:rPr>
      </w:pPr>
      <w:r>
        <w:rPr>
          <w:rFonts w:hint="eastAsia" w:ascii="仿宋_GB2312" w:hAnsi="宋体" w:eastAsia="仿宋_GB2312"/>
        </w:rPr>
        <w:t>截留、挪用国家建设资金；</w:t>
      </w:r>
    </w:p>
    <w:p>
      <w:pPr>
        <w:numPr>
          <w:ilvl w:val="0"/>
          <w:numId w:val="3"/>
        </w:numPr>
        <w:spacing w:line="600" w:lineRule="exact"/>
        <w:rPr>
          <w:rFonts w:ascii="仿宋_GB2312" w:hAnsi="宋体" w:eastAsia="仿宋_GB2312"/>
        </w:rPr>
      </w:pPr>
      <w:r>
        <w:rPr>
          <w:rFonts w:hint="eastAsia" w:ascii="仿宋_GB2312" w:hAnsi="宋体" w:eastAsia="仿宋_GB2312"/>
        </w:rPr>
        <w:t>以虚报、冒领、关联交易等手段骗取国家建设资金；</w:t>
      </w:r>
    </w:p>
    <w:p>
      <w:pPr>
        <w:numPr>
          <w:ilvl w:val="0"/>
          <w:numId w:val="3"/>
        </w:numPr>
        <w:spacing w:line="600" w:lineRule="exact"/>
        <w:rPr>
          <w:rFonts w:ascii="仿宋_GB2312" w:hAnsi="宋体" w:eastAsia="仿宋_GB2312"/>
        </w:rPr>
      </w:pPr>
      <w:r>
        <w:rPr>
          <w:rFonts w:hint="eastAsia" w:ascii="仿宋_GB2312" w:hAnsi="宋体" w:eastAsia="仿宋_GB2312"/>
        </w:rPr>
        <w:t>违反规定超概（预）算投资；</w:t>
      </w:r>
    </w:p>
    <w:p>
      <w:pPr>
        <w:numPr>
          <w:ilvl w:val="0"/>
          <w:numId w:val="3"/>
        </w:numPr>
        <w:spacing w:line="600" w:lineRule="exact"/>
        <w:rPr>
          <w:rFonts w:ascii="仿宋_GB2312" w:hAnsi="宋体" w:eastAsia="仿宋_GB2312"/>
        </w:rPr>
      </w:pPr>
      <w:r>
        <w:rPr>
          <w:rFonts w:hint="eastAsia" w:ascii="仿宋_GB2312" w:hAnsi="宋体" w:eastAsia="仿宋_GB2312"/>
        </w:rPr>
        <w:t>虚列投资完成额；</w:t>
      </w:r>
    </w:p>
    <w:p>
      <w:pPr>
        <w:numPr>
          <w:ilvl w:val="0"/>
          <w:numId w:val="3"/>
        </w:numPr>
        <w:spacing w:line="600" w:lineRule="exact"/>
        <w:rPr>
          <w:rFonts w:ascii="仿宋_GB2312" w:hAnsi="宋体" w:eastAsia="仿宋_GB2312"/>
        </w:rPr>
      </w:pPr>
      <w:r>
        <w:rPr>
          <w:rFonts w:hint="eastAsia" w:ascii="仿宋_GB2312" w:hAnsi="宋体" w:eastAsia="仿宋_GB2312"/>
        </w:rPr>
        <w:t>其他违反国家投资建设项目有关规定的行为。</w:t>
      </w:r>
    </w:p>
    <w:p>
      <w:pPr>
        <w:numPr>
          <w:ilvl w:val="0"/>
          <w:numId w:val="1"/>
        </w:numPr>
        <w:spacing w:line="600" w:lineRule="exact"/>
        <w:ind w:firstLine="612" w:firstLineChars="196"/>
        <w:rPr>
          <w:rFonts w:ascii="仿宋_GB2312" w:hAnsi="宋体" w:eastAsia="仿宋_GB2312"/>
        </w:rPr>
      </w:pPr>
      <w:r>
        <w:rPr>
          <w:rFonts w:hint="eastAsia" w:ascii="仿宋_GB2312" w:hAnsi="宋体" w:eastAsia="仿宋_GB2312"/>
        </w:rPr>
        <w:t xml:space="preserve">聘用的社会中介机构或者符合审计职业要求的专业人员拒不服从监督管理的，相关社会中介机构、专业人员在审计中未恪守职业准则、执业规范，违反有关法律、法规、规章的，县审计机关应当停止其承担的工作，依照规定作出相应的处理， 3年内不得参与汶上县公共投资建设项目的造价咨询审计业务。 </w:t>
      </w:r>
    </w:p>
    <w:p>
      <w:pPr>
        <w:numPr>
          <w:ilvl w:val="0"/>
          <w:numId w:val="1"/>
        </w:numPr>
        <w:spacing w:line="600" w:lineRule="exact"/>
        <w:ind w:firstLine="612" w:firstLineChars="196"/>
        <w:rPr>
          <w:rFonts w:ascii="仿宋_GB2312" w:hAnsi="宋体" w:eastAsia="仿宋_GB2312"/>
        </w:rPr>
      </w:pPr>
      <w:r>
        <w:rPr>
          <w:rFonts w:hint="eastAsia" w:ascii="仿宋_GB2312" w:hAnsi="仿宋_GB2312" w:eastAsia="仿宋_GB2312" w:cs="仿宋_GB2312"/>
        </w:rPr>
        <w:t>审计人员在公共投资建设项目审计中滥用职权、徇私舞弊、玩忽职守，未构成犯罪的，由其所在单位或上级机关依法给予处分；涉嫌犯罪的，依法追究刑事责任。</w:t>
      </w:r>
    </w:p>
    <w:p>
      <w:pPr>
        <w:spacing w:line="600" w:lineRule="exact"/>
        <w:rPr>
          <w:rFonts w:ascii="仿宋_GB2312" w:hAnsi="宋体" w:eastAsia="仿宋_GB2312"/>
        </w:rPr>
      </w:pPr>
    </w:p>
    <w:p>
      <w:pPr>
        <w:spacing w:line="600" w:lineRule="exact"/>
        <w:jc w:val="center"/>
        <w:rPr>
          <w:rFonts w:ascii="黑体" w:hAnsi="黑体" w:eastAsia="黑体"/>
        </w:rPr>
      </w:pPr>
      <w:r>
        <w:rPr>
          <w:rFonts w:hint="eastAsia" w:ascii="黑体" w:hAnsi="黑体" w:eastAsia="黑体"/>
        </w:rPr>
        <w:t xml:space="preserve">第六章 </w:t>
      </w:r>
      <w:r>
        <w:rPr>
          <w:rFonts w:ascii="黑体" w:hAnsi="黑体" w:eastAsia="黑体"/>
        </w:rPr>
        <w:t xml:space="preserve"> </w:t>
      </w:r>
      <w:r>
        <w:rPr>
          <w:rFonts w:hint="eastAsia" w:ascii="黑体" w:hAnsi="黑体" w:eastAsia="黑体"/>
        </w:rPr>
        <w:t>附则</w:t>
      </w:r>
    </w:p>
    <w:p>
      <w:pPr>
        <w:spacing w:line="600" w:lineRule="exact"/>
        <w:rPr>
          <w:rFonts w:ascii="仿宋_GB2312" w:hAnsi="宋体" w:eastAsia="仿宋_GB2312"/>
        </w:rPr>
      </w:pPr>
    </w:p>
    <w:p>
      <w:pPr>
        <w:numPr>
          <w:ilvl w:val="0"/>
          <w:numId w:val="1"/>
        </w:numPr>
        <w:spacing w:line="600" w:lineRule="exact"/>
        <w:ind w:firstLine="614"/>
        <w:rPr>
          <w:rFonts w:ascii="仿宋_GB2312" w:hAnsi="宋体" w:eastAsia="仿宋_GB2312"/>
        </w:rPr>
      </w:pPr>
      <w:r>
        <w:rPr>
          <w:rFonts w:hint="eastAsia" w:ascii="仿宋_GB2312" w:hAnsi="宋体" w:eastAsia="仿宋_GB2312"/>
        </w:rPr>
        <w:t>本办法自2019年</w:t>
      </w:r>
      <w:r>
        <w:rPr>
          <w:rFonts w:ascii="仿宋_GB2312" w:hAnsi="宋体" w:eastAsia="仿宋_GB2312"/>
        </w:rPr>
        <w:t>*</w:t>
      </w:r>
      <w:r>
        <w:rPr>
          <w:rFonts w:hint="eastAsia" w:ascii="仿宋_GB2312" w:hAnsi="宋体" w:eastAsia="仿宋_GB2312"/>
        </w:rPr>
        <w:t>月</w:t>
      </w:r>
      <w:r>
        <w:rPr>
          <w:rFonts w:ascii="仿宋_GB2312" w:hAnsi="宋体" w:eastAsia="仿宋_GB2312"/>
        </w:rPr>
        <w:t>*</w:t>
      </w:r>
      <w:r>
        <w:rPr>
          <w:rFonts w:hint="eastAsia" w:ascii="仿宋_GB2312" w:hAnsi="宋体" w:eastAsia="仿宋_GB2312"/>
        </w:rPr>
        <w:t>日施行，有效期至2024年*月</w:t>
      </w:r>
      <w:r>
        <w:rPr>
          <w:rFonts w:ascii="仿宋_GB2312" w:hAnsi="宋体" w:eastAsia="仿宋_GB2312"/>
        </w:rPr>
        <w:t>*</w:t>
      </w:r>
      <w:r>
        <w:rPr>
          <w:rFonts w:hint="eastAsia" w:ascii="仿宋_GB2312" w:hAnsi="宋体" w:eastAsia="仿宋_GB2312"/>
        </w:rPr>
        <w:t>日。自本办法施行之日起，县人民政府20</w:t>
      </w:r>
      <w:r>
        <w:rPr>
          <w:rFonts w:ascii="仿宋_GB2312" w:hAnsi="宋体" w:eastAsia="仿宋_GB2312"/>
        </w:rPr>
        <w:t>09</w:t>
      </w:r>
      <w:r>
        <w:rPr>
          <w:rFonts w:hint="eastAsia" w:ascii="仿宋_GB2312" w:hAnsi="宋体" w:eastAsia="仿宋_GB2312"/>
        </w:rPr>
        <w:t>年</w:t>
      </w:r>
      <w:r>
        <w:rPr>
          <w:rFonts w:ascii="仿宋_GB2312" w:hAnsi="宋体" w:eastAsia="仿宋_GB2312"/>
        </w:rPr>
        <w:t>6</w:t>
      </w:r>
      <w:r>
        <w:rPr>
          <w:rFonts w:hint="eastAsia" w:ascii="仿宋_GB2312" w:hAnsi="宋体" w:eastAsia="仿宋_GB2312"/>
        </w:rPr>
        <w:t>月</w:t>
      </w:r>
      <w:r>
        <w:rPr>
          <w:rFonts w:ascii="仿宋_GB2312" w:hAnsi="宋体" w:eastAsia="仿宋_GB2312"/>
        </w:rPr>
        <w:t>5</w:t>
      </w:r>
      <w:r>
        <w:rPr>
          <w:rFonts w:hint="eastAsia" w:ascii="仿宋_GB2312" w:hAnsi="宋体" w:eastAsia="仿宋_GB2312"/>
        </w:rPr>
        <w:t>日发布的《汶上县政府投资建设项目审计管理办法》（汶政发〔20</w:t>
      </w:r>
      <w:r>
        <w:rPr>
          <w:rFonts w:ascii="仿宋_GB2312" w:hAnsi="宋体" w:eastAsia="仿宋_GB2312"/>
        </w:rPr>
        <w:t>09</w:t>
      </w:r>
      <w:r>
        <w:rPr>
          <w:rFonts w:hint="eastAsia" w:ascii="仿宋_GB2312" w:hAnsi="宋体" w:eastAsia="仿宋_GB2312"/>
        </w:rPr>
        <w:t>〕</w:t>
      </w:r>
      <w:r>
        <w:rPr>
          <w:rFonts w:ascii="仿宋_GB2312" w:hAnsi="宋体" w:eastAsia="仿宋_GB2312"/>
        </w:rPr>
        <w:t>49</w:t>
      </w:r>
      <w:r>
        <w:rPr>
          <w:rFonts w:hint="eastAsia" w:ascii="仿宋_GB2312" w:hAnsi="宋体" w:eastAsia="仿宋_GB2312"/>
        </w:rPr>
        <w:t>号）同时废止。</w:t>
      </w:r>
    </w:p>
    <w:p/>
    <w:bookmarkEnd w:id="0"/>
    <w:sectPr>
      <w:footerReference r:id="rId3" w:type="default"/>
      <w:footerReference r:id="rId4" w:type="even"/>
      <w:pgSz w:w="11906" w:h="16838"/>
      <w:pgMar w:top="1758" w:right="1588" w:bottom="1134" w:left="1588" w:header="0" w:footer="1531" w:gutter="0"/>
      <w:pgNumType w:fmt="numberInDash"/>
      <w:cols w:space="720" w:num="1"/>
      <w:docGrid w:type="linesAndChars" w:linePitch="61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100" w:wrap="around" w:vAnchor="page" w:hAnchor="page" w:x="9232" w:y="15286"/>
      <w:ind w:firstLine="275" w:firstLineChars="98"/>
      <w:rPr>
        <w:rStyle w:val="7"/>
        <w:rFonts w:ascii="宋体" w:hAnsi="宋体" w:eastAsia="宋体"/>
        <w:b/>
        <w:sz w:val="28"/>
        <w:szCs w:val="28"/>
      </w:rPr>
    </w:pPr>
    <w:r>
      <w:rPr>
        <w:rFonts w:ascii="宋体" w:hAnsi="宋体" w:eastAsia="宋体"/>
        <w:b/>
        <w:sz w:val="28"/>
        <w:szCs w:val="28"/>
      </w:rPr>
      <w:fldChar w:fldCharType="begin"/>
    </w:r>
    <w:r>
      <w:rPr>
        <w:rStyle w:val="7"/>
        <w:rFonts w:ascii="宋体" w:hAnsi="宋体" w:eastAsia="宋体"/>
        <w:b/>
        <w:sz w:val="28"/>
        <w:szCs w:val="28"/>
      </w:rPr>
      <w:instrText xml:space="preserve">PAGE  </w:instrText>
    </w:r>
    <w:r>
      <w:rPr>
        <w:rFonts w:ascii="宋体" w:hAnsi="宋体" w:eastAsia="宋体"/>
        <w:b/>
        <w:sz w:val="28"/>
        <w:szCs w:val="28"/>
      </w:rPr>
      <w:fldChar w:fldCharType="separate"/>
    </w:r>
    <w:r>
      <w:rPr>
        <w:rStyle w:val="7"/>
        <w:rFonts w:ascii="宋体" w:hAnsi="宋体" w:eastAsia="宋体"/>
        <w:b/>
        <w:sz w:val="28"/>
        <w:szCs w:val="28"/>
      </w:rPr>
      <w:t>- 8 -</w:t>
    </w:r>
    <w:r>
      <w:rPr>
        <w:rFonts w:ascii="宋体" w:hAnsi="宋体" w:eastAsia="宋体"/>
        <w:b/>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346" w:hRule="exact" w:wrap="around" w:vAnchor="page" w:hAnchor="page" w:x="1744" w:y="15286"/>
      <w:rPr>
        <w:rStyle w:val="7"/>
        <w:rFonts w:ascii="宋体" w:hAnsi="宋体" w:eastAsia="宋体"/>
        <w:b/>
        <w:sz w:val="28"/>
        <w:szCs w:val="28"/>
      </w:rPr>
    </w:pPr>
    <w:r>
      <w:rPr>
        <w:rFonts w:ascii="宋体" w:hAnsi="宋体" w:eastAsia="宋体"/>
        <w:b/>
        <w:sz w:val="28"/>
        <w:szCs w:val="28"/>
      </w:rPr>
      <w:fldChar w:fldCharType="begin"/>
    </w:r>
    <w:r>
      <w:rPr>
        <w:rStyle w:val="7"/>
        <w:rFonts w:ascii="宋体" w:hAnsi="宋体" w:eastAsia="宋体"/>
        <w:b/>
        <w:sz w:val="28"/>
        <w:szCs w:val="28"/>
      </w:rPr>
      <w:instrText xml:space="preserve">PAGE  </w:instrText>
    </w:r>
    <w:r>
      <w:rPr>
        <w:rFonts w:ascii="宋体" w:hAnsi="宋体" w:eastAsia="宋体"/>
        <w:b/>
        <w:sz w:val="28"/>
        <w:szCs w:val="28"/>
      </w:rPr>
      <w:fldChar w:fldCharType="separate"/>
    </w:r>
    <w:r>
      <w:rPr>
        <w:rStyle w:val="7"/>
        <w:rFonts w:ascii="宋体" w:hAnsi="宋体" w:eastAsia="宋体"/>
        <w:b/>
        <w:sz w:val="28"/>
        <w:szCs w:val="28"/>
      </w:rPr>
      <w:t>- 2 -</w:t>
    </w:r>
    <w:r>
      <w:rPr>
        <w:rFonts w:ascii="宋体" w:hAnsi="宋体" w:eastAsia="宋体"/>
        <w:b/>
        <w:sz w:val="28"/>
        <w:szCs w:val="28"/>
      </w:rPr>
      <w:fldChar w:fldCharType="end"/>
    </w:r>
  </w:p>
  <w:p>
    <w:pPr>
      <w:pStyle w:val="3"/>
      <w:ind w:right="360"/>
      <w:rPr>
        <w:sz w:val="10"/>
        <w:szCs w:val="1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3813F"/>
    <w:multiLevelType w:val="singleLevel"/>
    <w:tmpl w:val="DAC3813F"/>
    <w:lvl w:ilvl="0" w:tentative="0">
      <w:start w:val="1"/>
      <w:numFmt w:val="chineseCounting"/>
      <w:suff w:val="nothing"/>
      <w:lvlText w:val="（%1）"/>
      <w:lvlJc w:val="left"/>
      <w:pPr>
        <w:ind w:left="626" w:firstLine="0"/>
      </w:pPr>
      <w:rPr>
        <w:rFonts w:hint="eastAsia"/>
      </w:rPr>
    </w:lvl>
  </w:abstractNum>
  <w:abstractNum w:abstractNumId="1">
    <w:nsid w:val="5949E0E2"/>
    <w:multiLevelType w:val="singleLevel"/>
    <w:tmpl w:val="5949E0E2"/>
    <w:lvl w:ilvl="0" w:tentative="0">
      <w:start w:val="1"/>
      <w:numFmt w:val="chineseCounting"/>
      <w:suff w:val="space"/>
      <w:lvlText w:val="第%1条"/>
      <w:lvlJc w:val="left"/>
      <w:rPr>
        <w:rFonts w:ascii="黑体" w:hAnsi="黑体" w:eastAsia="黑体"/>
      </w:rPr>
    </w:lvl>
  </w:abstractNum>
  <w:abstractNum w:abstractNumId="2">
    <w:nsid w:val="5949EF85"/>
    <w:multiLevelType w:val="singleLevel"/>
    <w:tmpl w:val="5949EF85"/>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778D"/>
    <w:rsid w:val="000522C7"/>
    <w:rsid w:val="0007778D"/>
    <w:rsid w:val="000D7892"/>
    <w:rsid w:val="00137F74"/>
    <w:rsid w:val="00184CE8"/>
    <w:rsid w:val="001C410D"/>
    <w:rsid w:val="00203CBA"/>
    <w:rsid w:val="0026107F"/>
    <w:rsid w:val="002A73BD"/>
    <w:rsid w:val="002E7E63"/>
    <w:rsid w:val="0035194E"/>
    <w:rsid w:val="00455089"/>
    <w:rsid w:val="00460555"/>
    <w:rsid w:val="004D24BB"/>
    <w:rsid w:val="00515E4C"/>
    <w:rsid w:val="0056549F"/>
    <w:rsid w:val="005C4C4D"/>
    <w:rsid w:val="005D4B48"/>
    <w:rsid w:val="006314B8"/>
    <w:rsid w:val="006620A0"/>
    <w:rsid w:val="00665EC6"/>
    <w:rsid w:val="00675E62"/>
    <w:rsid w:val="00717EA1"/>
    <w:rsid w:val="00723954"/>
    <w:rsid w:val="007559FC"/>
    <w:rsid w:val="00773A17"/>
    <w:rsid w:val="00795469"/>
    <w:rsid w:val="007D0638"/>
    <w:rsid w:val="007E1573"/>
    <w:rsid w:val="00804342"/>
    <w:rsid w:val="00845352"/>
    <w:rsid w:val="00882498"/>
    <w:rsid w:val="00883990"/>
    <w:rsid w:val="00942D41"/>
    <w:rsid w:val="009747AE"/>
    <w:rsid w:val="009837A7"/>
    <w:rsid w:val="009A7E3C"/>
    <w:rsid w:val="00A3523A"/>
    <w:rsid w:val="00A60521"/>
    <w:rsid w:val="00A6307B"/>
    <w:rsid w:val="00AA42C4"/>
    <w:rsid w:val="00AD0330"/>
    <w:rsid w:val="00BC1A1E"/>
    <w:rsid w:val="00C17B8F"/>
    <w:rsid w:val="00C231E8"/>
    <w:rsid w:val="00CB1970"/>
    <w:rsid w:val="00CC7BBD"/>
    <w:rsid w:val="00CD57C1"/>
    <w:rsid w:val="00DA4B4D"/>
    <w:rsid w:val="00E035BB"/>
    <w:rsid w:val="00E741B9"/>
    <w:rsid w:val="00EE7980"/>
    <w:rsid w:val="00F1144F"/>
    <w:rsid w:val="00F24CE6"/>
    <w:rsid w:val="00FB4F8F"/>
    <w:rsid w:val="00FC6884"/>
    <w:rsid w:val="03A96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508</Words>
  <Characters>2896</Characters>
  <Lines>24</Lines>
  <Paragraphs>6</Paragraphs>
  <TotalTime>1267</TotalTime>
  <ScaleCrop>false</ScaleCrop>
  <LinksUpToDate>false</LinksUpToDate>
  <CharactersWithSpaces>3398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2019-01-11T00:45:00Z</dcterms:created>
  <dc:creator>tz2</dc:creator>
  <cp:lastModifiedBy>lenovo</cp:lastModifiedBy>
  <cp:lastPrinted>2018-10-24T00:42:00Z</cp:lastPrinted>
  <dcterms:modified xsi:type="dcterms:W3CDTF">2019-05-14T07:35:38Z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